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4CC" w:rsidRPr="00037169" w:rsidRDefault="00037169" w:rsidP="00037169">
      <w:pPr>
        <w:spacing w:line="360" w:lineRule="auto"/>
        <w:jc w:val="center"/>
        <w:rPr>
          <w:rFonts w:ascii="Arial" w:hAnsi="Arial" w:cs="Arial"/>
          <w:sz w:val="32"/>
        </w:rPr>
      </w:pPr>
      <w:bookmarkStart w:id="0" w:name="_GoBack"/>
      <w:bookmarkEnd w:id="0"/>
      <w:r w:rsidRPr="00037169">
        <w:rPr>
          <w:rFonts w:ascii="Arial" w:hAnsi="Arial" w:cs="Arial"/>
          <w:sz w:val="32"/>
        </w:rPr>
        <w:t xml:space="preserve">REPUBLIKA HRVATSKA </w:t>
      </w:r>
    </w:p>
    <w:p w:rsidR="00037169" w:rsidRPr="00037169" w:rsidRDefault="00037169" w:rsidP="00037169">
      <w:pPr>
        <w:spacing w:line="360" w:lineRule="auto"/>
        <w:jc w:val="center"/>
        <w:rPr>
          <w:rFonts w:ascii="Arial" w:hAnsi="Arial" w:cs="Arial"/>
          <w:sz w:val="32"/>
        </w:rPr>
      </w:pPr>
      <w:r w:rsidRPr="00037169">
        <w:rPr>
          <w:rFonts w:ascii="Arial" w:hAnsi="Arial" w:cs="Arial"/>
          <w:sz w:val="32"/>
        </w:rPr>
        <w:t>VARAŽDINSKA ŽUPANIJA</w:t>
      </w:r>
    </w:p>
    <w:p w:rsidR="00037169" w:rsidRPr="00037169" w:rsidRDefault="00037169" w:rsidP="00037169">
      <w:pPr>
        <w:spacing w:line="360" w:lineRule="auto"/>
        <w:jc w:val="center"/>
        <w:rPr>
          <w:rFonts w:ascii="Arial" w:hAnsi="Arial" w:cs="Arial"/>
          <w:b/>
          <w:sz w:val="32"/>
        </w:rPr>
      </w:pPr>
      <w:r w:rsidRPr="00037169">
        <w:rPr>
          <w:rFonts w:ascii="Arial" w:hAnsi="Arial" w:cs="Arial"/>
          <w:b/>
          <w:sz w:val="32"/>
        </w:rPr>
        <w:t>OSNOVNA ŠKOLA BELETINEC</w:t>
      </w:r>
    </w:p>
    <w:p w:rsidR="00037169" w:rsidRDefault="00037169" w:rsidP="00037169">
      <w:pPr>
        <w:spacing w:line="360" w:lineRule="auto"/>
        <w:rPr>
          <w:rFonts w:ascii="Arial" w:hAnsi="Arial" w:cs="Arial"/>
          <w:sz w:val="24"/>
        </w:rPr>
      </w:pPr>
    </w:p>
    <w:p w:rsidR="00037169" w:rsidRDefault="00037169" w:rsidP="00037169">
      <w:pPr>
        <w:spacing w:line="360" w:lineRule="auto"/>
        <w:jc w:val="center"/>
        <w:rPr>
          <w:rFonts w:ascii="Arial" w:hAnsi="Arial" w:cs="Arial"/>
          <w:sz w:val="24"/>
        </w:rPr>
      </w:pPr>
    </w:p>
    <w:p w:rsidR="00037169" w:rsidRDefault="00037169" w:rsidP="00037169">
      <w:pPr>
        <w:spacing w:line="360" w:lineRule="auto"/>
        <w:jc w:val="center"/>
        <w:rPr>
          <w:rFonts w:ascii="Arial" w:hAnsi="Arial" w:cs="Arial"/>
          <w:sz w:val="24"/>
        </w:rPr>
      </w:pPr>
    </w:p>
    <w:p w:rsidR="00037169" w:rsidRDefault="00037169" w:rsidP="00037169">
      <w:pPr>
        <w:spacing w:line="360" w:lineRule="auto"/>
        <w:jc w:val="center"/>
        <w:rPr>
          <w:rFonts w:ascii="Arial" w:hAnsi="Arial" w:cs="Arial"/>
          <w:sz w:val="24"/>
        </w:rPr>
      </w:pPr>
    </w:p>
    <w:p w:rsidR="00037169" w:rsidRDefault="00037169" w:rsidP="00037169">
      <w:pPr>
        <w:spacing w:line="360" w:lineRule="auto"/>
        <w:jc w:val="center"/>
        <w:rPr>
          <w:rFonts w:ascii="Arial" w:hAnsi="Arial" w:cs="Arial"/>
          <w:sz w:val="24"/>
        </w:rPr>
      </w:pPr>
    </w:p>
    <w:p w:rsidR="00037169" w:rsidRDefault="00037169" w:rsidP="00037169">
      <w:pPr>
        <w:spacing w:line="360" w:lineRule="auto"/>
        <w:jc w:val="center"/>
        <w:rPr>
          <w:rFonts w:ascii="Arial" w:hAnsi="Arial" w:cs="Arial"/>
          <w:sz w:val="24"/>
        </w:rPr>
      </w:pPr>
    </w:p>
    <w:p w:rsidR="00037169" w:rsidRDefault="00037169" w:rsidP="00037169">
      <w:pPr>
        <w:spacing w:line="360" w:lineRule="auto"/>
        <w:jc w:val="center"/>
        <w:rPr>
          <w:rFonts w:ascii="Arial" w:hAnsi="Arial" w:cs="Arial"/>
          <w:sz w:val="24"/>
        </w:rPr>
      </w:pPr>
    </w:p>
    <w:p w:rsidR="00037169" w:rsidRDefault="00037169" w:rsidP="00037169">
      <w:pPr>
        <w:spacing w:line="360" w:lineRule="auto"/>
        <w:jc w:val="center"/>
        <w:rPr>
          <w:rFonts w:ascii="Arial" w:hAnsi="Arial" w:cs="Arial"/>
          <w:sz w:val="24"/>
        </w:rPr>
      </w:pPr>
    </w:p>
    <w:p w:rsidR="00037169" w:rsidRDefault="00037169" w:rsidP="00037169">
      <w:pPr>
        <w:spacing w:line="360" w:lineRule="auto"/>
        <w:jc w:val="center"/>
        <w:rPr>
          <w:rFonts w:ascii="Arial" w:hAnsi="Arial" w:cs="Arial"/>
          <w:sz w:val="24"/>
        </w:rPr>
      </w:pPr>
    </w:p>
    <w:p w:rsidR="00037169" w:rsidRDefault="00037169" w:rsidP="00037169">
      <w:pPr>
        <w:spacing w:line="360" w:lineRule="auto"/>
        <w:jc w:val="center"/>
        <w:rPr>
          <w:rFonts w:ascii="Arial" w:hAnsi="Arial" w:cs="Arial"/>
          <w:b/>
          <w:sz w:val="36"/>
        </w:rPr>
      </w:pPr>
      <w:r w:rsidRPr="00037169">
        <w:rPr>
          <w:rFonts w:ascii="Arial" w:hAnsi="Arial" w:cs="Arial"/>
          <w:b/>
          <w:sz w:val="36"/>
        </w:rPr>
        <w:t>OBRAZLOŽENJE OPĆEG DIJELA FINANCIJSKOG PLANA OS</w:t>
      </w:r>
      <w:r w:rsidR="00492786">
        <w:rPr>
          <w:rFonts w:ascii="Arial" w:hAnsi="Arial" w:cs="Arial"/>
          <w:b/>
          <w:sz w:val="36"/>
        </w:rPr>
        <w:t>N</w:t>
      </w:r>
      <w:r w:rsidRPr="00037169">
        <w:rPr>
          <w:rFonts w:ascii="Arial" w:hAnsi="Arial" w:cs="Arial"/>
          <w:b/>
          <w:sz w:val="36"/>
        </w:rPr>
        <w:t xml:space="preserve">OVNE ŠKOLE BELETINEC ZA 2025. GODINU I PROJEKCIJE ZA 2026. I 2027. GODINU </w:t>
      </w:r>
    </w:p>
    <w:p w:rsidR="00F75104" w:rsidRDefault="00037169">
      <w:pPr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7033238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75104" w:rsidRDefault="00F75104">
          <w:pPr>
            <w:pStyle w:val="TOCNaslov"/>
          </w:pPr>
          <w:r w:rsidRPr="00F75104">
            <w:rPr>
              <w:color w:val="auto"/>
            </w:rPr>
            <w:t>SADRŽAJ</w:t>
          </w:r>
          <w:r>
            <w:rPr>
              <w:color w:val="auto"/>
            </w:rPr>
            <w:t>:</w:t>
          </w:r>
          <w:r w:rsidRPr="00F75104">
            <w:rPr>
              <w:color w:val="auto"/>
            </w:rPr>
            <w:t xml:space="preserve"> </w:t>
          </w:r>
        </w:p>
        <w:p w:rsidR="00F75104" w:rsidRPr="00F75104" w:rsidRDefault="00F75104" w:rsidP="00F75104">
          <w:pPr>
            <w:rPr>
              <w:lang w:eastAsia="hr-HR"/>
            </w:rPr>
          </w:pPr>
        </w:p>
        <w:p w:rsidR="00F75104" w:rsidRDefault="00F75104">
          <w:pPr>
            <w:pStyle w:val="Sadraj1"/>
            <w:tabs>
              <w:tab w:val="left" w:pos="440"/>
              <w:tab w:val="right" w:leader="dot" w:pos="90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0679087" w:history="1">
            <w:r w:rsidRPr="009329FC">
              <w:rPr>
                <w:rStyle w:val="Hiperveza"/>
                <w:noProof/>
              </w:rPr>
              <w:t>1.</w:t>
            </w:r>
            <w:r>
              <w:rPr>
                <w:noProof/>
              </w:rPr>
              <w:tab/>
            </w:r>
            <w:r w:rsidRPr="009329FC">
              <w:rPr>
                <w:rStyle w:val="Hiperveza"/>
                <w:noProof/>
              </w:rPr>
              <w:t>UVOD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_Toc180679087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30F23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75104" w:rsidRDefault="00F55CFE">
          <w:pPr>
            <w:pStyle w:val="Sadraj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180679088" w:history="1">
            <w:r w:rsidR="00F75104" w:rsidRPr="009329FC">
              <w:rPr>
                <w:rStyle w:val="Hiperveza"/>
                <w:noProof/>
              </w:rPr>
              <w:t>2.</w:t>
            </w:r>
            <w:r w:rsidR="00F75104">
              <w:rPr>
                <w:noProof/>
              </w:rPr>
              <w:tab/>
            </w:r>
            <w:r w:rsidR="00F75104" w:rsidRPr="009329FC">
              <w:rPr>
                <w:rStyle w:val="Hiperveza"/>
                <w:noProof/>
              </w:rPr>
              <w:t>PRIHODI I PRIMICI</w:t>
            </w:r>
            <w:r w:rsidR="00F75104">
              <w:rPr>
                <w:noProof/>
                <w:webHidden/>
              </w:rPr>
              <w:tab/>
            </w:r>
            <w:r w:rsidR="00F75104">
              <w:rPr>
                <w:noProof/>
                <w:webHidden/>
              </w:rPr>
              <w:fldChar w:fldCharType="begin"/>
            </w:r>
            <w:r w:rsidR="00F75104">
              <w:rPr>
                <w:noProof/>
                <w:webHidden/>
              </w:rPr>
              <w:instrText xml:space="preserve"> PAGEREF _Toc180679088 \h </w:instrText>
            </w:r>
            <w:r w:rsidR="00F75104">
              <w:rPr>
                <w:noProof/>
                <w:webHidden/>
              </w:rPr>
            </w:r>
            <w:r w:rsidR="00F75104">
              <w:rPr>
                <w:noProof/>
                <w:webHidden/>
              </w:rPr>
              <w:fldChar w:fldCharType="separate"/>
            </w:r>
            <w:r w:rsidR="00730F23">
              <w:rPr>
                <w:noProof/>
                <w:webHidden/>
              </w:rPr>
              <w:t>4</w:t>
            </w:r>
            <w:r w:rsidR="00F75104">
              <w:rPr>
                <w:noProof/>
                <w:webHidden/>
              </w:rPr>
              <w:fldChar w:fldCharType="end"/>
            </w:r>
          </w:hyperlink>
        </w:p>
        <w:p w:rsidR="00F75104" w:rsidRDefault="00F55CFE">
          <w:pPr>
            <w:pStyle w:val="Sadraj2"/>
            <w:tabs>
              <w:tab w:val="right" w:leader="dot" w:pos="9062"/>
            </w:tabs>
            <w:rPr>
              <w:noProof/>
            </w:rPr>
          </w:pPr>
          <w:hyperlink w:anchor="_Toc180679089" w:history="1">
            <w:r w:rsidR="00F75104" w:rsidRPr="009329FC">
              <w:rPr>
                <w:rStyle w:val="Hiperveza"/>
                <w:b/>
                <w:i/>
                <w:noProof/>
              </w:rPr>
              <w:t>2.1 Pomoći iz inozemstva i od subjekata unutar općeg proračuna</w:t>
            </w:r>
            <w:r w:rsidR="00F75104">
              <w:rPr>
                <w:noProof/>
                <w:webHidden/>
              </w:rPr>
              <w:tab/>
            </w:r>
            <w:r w:rsidR="00F75104">
              <w:rPr>
                <w:noProof/>
                <w:webHidden/>
              </w:rPr>
              <w:fldChar w:fldCharType="begin"/>
            </w:r>
            <w:r w:rsidR="00F75104">
              <w:rPr>
                <w:noProof/>
                <w:webHidden/>
              </w:rPr>
              <w:instrText xml:space="preserve"> PAGEREF _Toc180679089 \h </w:instrText>
            </w:r>
            <w:r w:rsidR="00F75104">
              <w:rPr>
                <w:noProof/>
                <w:webHidden/>
              </w:rPr>
            </w:r>
            <w:r w:rsidR="00F75104">
              <w:rPr>
                <w:noProof/>
                <w:webHidden/>
              </w:rPr>
              <w:fldChar w:fldCharType="separate"/>
            </w:r>
            <w:r w:rsidR="00730F23">
              <w:rPr>
                <w:noProof/>
                <w:webHidden/>
              </w:rPr>
              <w:t>5</w:t>
            </w:r>
            <w:r w:rsidR="00F75104">
              <w:rPr>
                <w:noProof/>
                <w:webHidden/>
              </w:rPr>
              <w:fldChar w:fldCharType="end"/>
            </w:r>
          </w:hyperlink>
        </w:p>
        <w:p w:rsidR="00F75104" w:rsidRDefault="00F55CFE">
          <w:pPr>
            <w:pStyle w:val="Sadraj2"/>
            <w:tabs>
              <w:tab w:val="right" w:leader="dot" w:pos="9062"/>
            </w:tabs>
            <w:rPr>
              <w:noProof/>
            </w:rPr>
          </w:pPr>
          <w:hyperlink w:anchor="_Toc180679090" w:history="1">
            <w:r w:rsidR="00F75104" w:rsidRPr="009329FC">
              <w:rPr>
                <w:rStyle w:val="Hiperveza"/>
                <w:b/>
                <w:i/>
                <w:noProof/>
              </w:rPr>
              <w:t>2.2 Prihodi od imovine</w:t>
            </w:r>
            <w:r w:rsidR="00F75104">
              <w:rPr>
                <w:noProof/>
                <w:webHidden/>
              </w:rPr>
              <w:tab/>
            </w:r>
            <w:r w:rsidR="00F75104">
              <w:rPr>
                <w:noProof/>
                <w:webHidden/>
              </w:rPr>
              <w:fldChar w:fldCharType="begin"/>
            </w:r>
            <w:r w:rsidR="00F75104">
              <w:rPr>
                <w:noProof/>
                <w:webHidden/>
              </w:rPr>
              <w:instrText xml:space="preserve"> PAGEREF _Toc180679090 \h </w:instrText>
            </w:r>
            <w:r w:rsidR="00F75104">
              <w:rPr>
                <w:noProof/>
                <w:webHidden/>
              </w:rPr>
            </w:r>
            <w:r w:rsidR="00F75104">
              <w:rPr>
                <w:noProof/>
                <w:webHidden/>
              </w:rPr>
              <w:fldChar w:fldCharType="separate"/>
            </w:r>
            <w:r w:rsidR="00730F23">
              <w:rPr>
                <w:noProof/>
                <w:webHidden/>
              </w:rPr>
              <w:t>6</w:t>
            </w:r>
            <w:r w:rsidR="00F75104">
              <w:rPr>
                <w:noProof/>
                <w:webHidden/>
              </w:rPr>
              <w:fldChar w:fldCharType="end"/>
            </w:r>
          </w:hyperlink>
        </w:p>
        <w:p w:rsidR="00F75104" w:rsidRDefault="00F55CFE">
          <w:pPr>
            <w:pStyle w:val="Sadraj2"/>
            <w:tabs>
              <w:tab w:val="right" w:leader="dot" w:pos="9062"/>
            </w:tabs>
            <w:rPr>
              <w:noProof/>
            </w:rPr>
          </w:pPr>
          <w:hyperlink w:anchor="_Toc180679091" w:history="1">
            <w:r w:rsidR="00F75104" w:rsidRPr="009329FC">
              <w:rPr>
                <w:rStyle w:val="Hiperveza"/>
                <w:b/>
                <w:i/>
                <w:noProof/>
              </w:rPr>
              <w:t>2.3 Prihodi od upravnih i administrativnih pristojbi, pristojbi po posebnim propisima i naknada</w:t>
            </w:r>
            <w:r w:rsidR="00F75104">
              <w:rPr>
                <w:noProof/>
                <w:webHidden/>
              </w:rPr>
              <w:tab/>
            </w:r>
            <w:r w:rsidR="00F75104">
              <w:rPr>
                <w:noProof/>
                <w:webHidden/>
              </w:rPr>
              <w:fldChar w:fldCharType="begin"/>
            </w:r>
            <w:r w:rsidR="00F75104">
              <w:rPr>
                <w:noProof/>
                <w:webHidden/>
              </w:rPr>
              <w:instrText xml:space="preserve"> PAGEREF _Toc180679091 \h </w:instrText>
            </w:r>
            <w:r w:rsidR="00F75104">
              <w:rPr>
                <w:noProof/>
                <w:webHidden/>
              </w:rPr>
            </w:r>
            <w:r w:rsidR="00F75104">
              <w:rPr>
                <w:noProof/>
                <w:webHidden/>
              </w:rPr>
              <w:fldChar w:fldCharType="separate"/>
            </w:r>
            <w:r w:rsidR="00730F23">
              <w:rPr>
                <w:noProof/>
                <w:webHidden/>
              </w:rPr>
              <w:t>6</w:t>
            </w:r>
            <w:r w:rsidR="00F75104">
              <w:rPr>
                <w:noProof/>
                <w:webHidden/>
              </w:rPr>
              <w:fldChar w:fldCharType="end"/>
            </w:r>
          </w:hyperlink>
        </w:p>
        <w:p w:rsidR="00F75104" w:rsidRDefault="00F55CFE">
          <w:pPr>
            <w:pStyle w:val="Sadraj2"/>
            <w:tabs>
              <w:tab w:val="right" w:leader="dot" w:pos="9062"/>
            </w:tabs>
            <w:rPr>
              <w:noProof/>
            </w:rPr>
          </w:pPr>
          <w:hyperlink w:anchor="_Toc180679092" w:history="1">
            <w:r w:rsidR="00F75104" w:rsidRPr="009329FC">
              <w:rPr>
                <w:rStyle w:val="Hiperveza"/>
                <w:b/>
                <w:i/>
                <w:noProof/>
              </w:rPr>
              <w:t>2.4 Prihodi od prodaje proizvoda i robe te pruženih usluga i prihodi od donacija te povrati po protestiranim jamstvima</w:t>
            </w:r>
            <w:r w:rsidR="00F75104">
              <w:rPr>
                <w:noProof/>
                <w:webHidden/>
              </w:rPr>
              <w:tab/>
            </w:r>
            <w:r w:rsidR="00F75104">
              <w:rPr>
                <w:noProof/>
                <w:webHidden/>
              </w:rPr>
              <w:fldChar w:fldCharType="begin"/>
            </w:r>
            <w:r w:rsidR="00F75104">
              <w:rPr>
                <w:noProof/>
                <w:webHidden/>
              </w:rPr>
              <w:instrText xml:space="preserve"> PAGEREF _Toc180679092 \h </w:instrText>
            </w:r>
            <w:r w:rsidR="00F75104">
              <w:rPr>
                <w:noProof/>
                <w:webHidden/>
              </w:rPr>
            </w:r>
            <w:r w:rsidR="00F75104">
              <w:rPr>
                <w:noProof/>
                <w:webHidden/>
              </w:rPr>
              <w:fldChar w:fldCharType="separate"/>
            </w:r>
            <w:r w:rsidR="00730F23">
              <w:rPr>
                <w:noProof/>
                <w:webHidden/>
              </w:rPr>
              <w:t>6</w:t>
            </w:r>
            <w:r w:rsidR="00F75104">
              <w:rPr>
                <w:noProof/>
                <w:webHidden/>
              </w:rPr>
              <w:fldChar w:fldCharType="end"/>
            </w:r>
          </w:hyperlink>
        </w:p>
        <w:p w:rsidR="00F75104" w:rsidRDefault="00F55CFE">
          <w:pPr>
            <w:pStyle w:val="Sadraj2"/>
            <w:tabs>
              <w:tab w:val="right" w:leader="dot" w:pos="9062"/>
            </w:tabs>
            <w:rPr>
              <w:noProof/>
            </w:rPr>
          </w:pPr>
          <w:hyperlink w:anchor="_Toc180679093" w:history="1">
            <w:r w:rsidR="00F75104" w:rsidRPr="009329FC">
              <w:rPr>
                <w:rStyle w:val="Hiperveza"/>
                <w:b/>
                <w:i/>
                <w:noProof/>
              </w:rPr>
              <w:t>2.5 Prihodi iz nadležnog proračuna i od HZZO-a temeljem ugovornih obveza</w:t>
            </w:r>
            <w:r w:rsidR="00F75104">
              <w:rPr>
                <w:noProof/>
                <w:webHidden/>
              </w:rPr>
              <w:tab/>
            </w:r>
            <w:r w:rsidR="00F75104">
              <w:rPr>
                <w:noProof/>
                <w:webHidden/>
              </w:rPr>
              <w:fldChar w:fldCharType="begin"/>
            </w:r>
            <w:r w:rsidR="00F75104">
              <w:rPr>
                <w:noProof/>
                <w:webHidden/>
              </w:rPr>
              <w:instrText xml:space="preserve"> PAGEREF _Toc180679093 \h </w:instrText>
            </w:r>
            <w:r w:rsidR="00F75104">
              <w:rPr>
                <w:noProof/>
                <w:webHidden/>
              </w:rPr>
            </w:r>
            <w:r w:rsidR="00F75104">
              <w:rPr>
                <w:noProof/>
                <w:webHidden/>
              </w:rPr>
              <w:fldChar w:fldCharType="separate"/>
            </w:r>
            <w:r w:rsidR="00730F23">
              <w:rPr>
                <w:noProof/>
                <w:webHidden/>
              </w:rPr>
              <w:t>6</w:t>
            </w:r>
            <w:r w:rsidR="00F75104">
              <w:rPr>
                <w:noProof/>
                <w:webHidden/>
              </w:rPr>
              <w:fldChar w:fldCharType="end"/>
            </w:r>
          </w:hyperlink>
        </w:p>
        <w:p w:rsidR="00F75104" w:rsidRDefault="00F55CFE">
          <w:pPr>
            <w:pStyle w:val="Sadraj2"/>
            <w:tabs>
              <w:tab w:val="right" w:leader="dot" w:pos="9062"/>
            </w:tabs>
            <w:rPr>
              <w:noProof/>
            </w:rPr>
          </w:pPr>
          <w:hyperlink w:anchor="_Toc180679094" w:history="1">
            <w:r w:rsidR="00F75104" w:rsidRPr="009329FC">
              <w:rPr>
                <w:rStyle w:val="Hiperveza"/>
                <w:b/>
                <w:i/>
                <w:noProof/>
              </w:rPr>
              <w:t>2.6 Prihodi i primici po izvorima financiranja</w:t>
            </w:r>
            <w:r w:rsidR="00F75104">
              <w:rPr>
                <w:noProof/>
                <w:webHidden/>
              </w:rPr>
              <w:tab/>
            </w:r>
            <w:r w:rsidR="00F75104">
              <w:rPr>
                <w:noProof/>
                <w:webHidden/>
              </w:rPr>
              <w:fldChar w:fldCharType="begin"/>
            </w:r>
            <w:r w:rsidR="00F75104">
              <w:rPr>
                <w:noProof/>
                <w:webHidden/>
              </w:rPr>
              <w:instrText xml:space="preserve"> PAGEREF _Toc180679094 \h </w:instrText>
            </w:r>
            <w:r w:rsidR="00F75104">
              <w:rPr>
                <w:noProof/>
                <w:webHidden/>
              </w:rPr>
            </w:r>
            <w:r w:rsidR="00F75104">
              <w:rPr>
                <w:noProof/>
                <w:webHidden/>
              </w:rPr>
              <w:fldChar w:fldCharType="separate"/>
            </w:r>
            <w:r w:rsidR="00730F23">
              <w:rPr>
                <w:noProof/>
                <w:webHidden/>
              </w:rPr>
              <w:t>7</w:t>
            </w:r>
            <w:r w:rsidR="00F75104">
              <w:rPr>
                <w:noProof/>
                <w:webHidden/>
              </w:rPr>
              <w:fldChar w:fldCharType="end"/>
            </w:r>
          </w:hyperlink>
        </w:p>
        <w:p w:rsidR="00F75104" w:rsidRDefault="00F55CFE">
          <w:pPr>
            <w:pStyle w:val="Sadraj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180679095" w:history="1">
            <w:r w:rsidR="00F75104" w:rsidRPr="009329FC">
              <w:rPr>
                <w:rStyle w:val="Hiperveza"/>
                <w:noProof/>
              </w:rPr>
              <w:t>3.</w:t>
            </w:r>
            <w:r w:rsidR="00F75104">
              <w:rPr>
                <w:noProof/>
              </w:rPr>
              <w:tab/>
            </w:r>
            <w:r w:rsidR="00F75104" w:rsidRPr="009329FC">
              <w:rPr>
                <w:rStyle w:val="Hiperveza"/>
                <w:noProof/>
              </w:rPr>
              <w:t>RASHODI I IZDACI</w:t>
            </w:r>
            <w:r w:rsidR="00F75104">
              <w:rPr>
                <w:noProof/>
                <w:webHidden/>
              </w:rPr>
              <w:tab/>
            </w:r>
            <w:r w:rsidR="00F75104">
              <w:rPr>
                <w:noProof/>
                <w:webHidden/>
              </w:rPr>
              <w:fldChar w:fldCharType="begin"/>
            </w:r>
            <w:r w:rsidR="00F75104">
              <w:rPr>
                <w:noProof/>
                <w:webHidden/>
              </w:rPr>
              <w:instrText xml:space="preserve"> PAGEREF _Toc180679095 \h </w:instrText>
            </w:r>
            <w:r w:rsidR="00F75104">
              <w:rPr>
                <w:noProof/>
                <w:webHidden/>
              </w:rPr>
            </w:r>
            <w:r w:rsidR="00F75104">
              <w:rPr>
                <w:noProof/>
                <w:webHidden/>
              </w:rPr>
              <w:fldChar w:fldCharType="separate"/>
            </w:r>
            <w:r w:rsidR="00730F23">
              <w:rPr>
                <w:noProof/>
                <w:webHidden/>
              </w:rPr>
              <w:t>9</w:t>
            </w:r>
            <w:r w:rsidR="00F75104">
              <w:rPr>
                <w:noProof/>
                <w:webHidden/>
              </w:rPr>
              <w:fldChar w:fldCharType="end"/>
            </w:r>
          </w:hyperlink>
        </w:p>
        <w:p w:rsidR="00F75104" w:rsidRDefault="00F55CFE">
          <w:pPr>
            <w:pStyle w:val="Sadraj2"/>
            <w:tabs>
              <w:tab w:val="right" w:leader="dot" w:pos="9062"/>
            </w:tabs>
            <w:rPr>
              <w:noProof/>
            </w:rPr>
          </w:pPr>
          <w:hyperlink w:anchor="_Toc180679096" w:history="1">
            <w:r w:rsidR="00F75104" w:rsidRPr="009329FC">
              <w:rPr>
                <w:rStyle w:val="Hiperveza"/>
                <w:b/>
                <w:i/>
                <w:noProof/>
              </w:rPr>
              <w:t>3.1 Rashodi poslovanja</w:t>
            </w:r>
            <w:r w:rsidR="00F75104">
              <w:rPr>
                <w:noProof/>
                <w:webHidden/>
              </w:rPr>
              <w:tab/>
            </w:r>
            <w:r w:rsidR="00F75104">
              <w:rPr>
                <w:noProof/>
                <w:webHidden/>
              </w:rPr>
              <w:fldChar w:fldCharType="begin"/>
            </w:r>
            <w:r w:rsidR="00F75104">
              <w:rPr>
                <w:noProof/>
                <w:webHidden/>
              </w:rPr>
              <w:instrText xml:space="preserve"> PAGEREF _Toc180679096 \h </w:instrText>
            </w:r>
            <w:r w:rsidR="00F75104">
              <w:rPr>
                <w:noProof/>
                <w:webHidden/>
              </w:rPr>
            </w:r>
            <w:r w:rsidR="00F75104">
              <w:rPr>
                <w:noProof/>
                <w:webHidden/>
              </w:rPr>
              <w:fldChar w:fldCharType="separate"/>
            </w:r>
            <w:r w:rsidR="00730F23">
              <w:rPr>
                <w:noProof/>
                <w:webHidden/>
              </w:rPr>
              <w:t>10</w:t>
            </w:r>
            <w:r w:rsidR="00F75104">
              <w:rPr>
                <w:noProof/>
                <w:webHidden/>
              </w:rPr>
              <w:fldChar w:fldCharType="end"/>
            </w:r>
          </w:hyperlink>
        </w:p>
        <w:p w:rsidR="00F75104" w:rsidRDefault="00F55CFE">
          <w:pPr>
            <w:pStyle w:val="Sadraj2"/>
            <w:tabs>
              <w:tab w:val="right" w:leader="dot" w:pos="9062"/>
            </w:tabs>
            <w:rPr>
              <w:noProof/>
            </w:rPr>
          </w:pPr>
          <w:hyperlink w:anchor="_Toc180679097" w:history="1">
            <w:r w:rsidR="00F75104" w:rsidRPr="009329FC">
              <w:rPr>
                <w:rStyle w:val="Hiperveza"/>
                <w:b/>
                <w:i/>
                <w:noProof/>
              </w:rPr>
              <w:t>3.2 Rashodi za nabavu nefinancijske imovine</w:t>
            </w:r>
            <w:r w:rsidR="00F75104">
              <w:rPr>
                <w:noProof/>
                <w:webHidden/>
              </w:rPr>
              <w:tab/>
            </w:r>
            <w:r w:rsidR="00F75104">
              <w:rPr>
                <w:noProof/>
                <w:webHidden/>
              </w:rPr>
              <w:fldChar w:fldCharType="begin"/>
            </w:r>
            <w:r w:rsidR="00F75104">
              <w:rPr>
                <w:noProof/>
                <w:webHidden/>
              </w:rPr>
              <w:instrText xml:space="preserve"> PAGEREF _Toc180679097 \h </w:instrText>
            </w:r>
            <w:r w:rsidR="00F75104">
              <w:rPr>
                <w:noProof/>
                <w:webHidden/>
              </w:rPr>
            </w:r>
            <w:r w:rsidR="00F75104">
              <w:rPr>
                <w:noProof/>
                <w:webHidden/>
              </w:rPr>
              <w:fldChar w:fldCharType="separate"/>
            </w:r>
            <w:r w:rsidR="00730F23">
              <w:rPr>
                <w:noProof/>
                <w:webHidden/>
              </w:rPr>
              <w:t>11</w:t>
            </w:r>
            <w:r w:rsidR="00F75104">
              <w:rPr>
                <w:noProof/>
                <w:webHidden/>
              </w:rPr>
              <w:fldChar w:fldCharType="end"/>
            </w:r>
          </w:hyperlink>
        </w:p>
        <w:p w:rsidR="00F75104" w:rsidRDefault="00F75104">
          <w:r>
            <w:rPr>
              <w:b/>
              <w:bCs/>
            </w:rPr>
            <w:fldChar w:fldCharType="end"/>
          </w:r>
        </w:p>
      </w:sdtContent>
    </w:sdt>
    <w:p w:rsidR="00F75104" w:rsidRDefault="00F75104">
      <w:pPr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br w:type="page"/>
      </w:r>
    </w:p>
    <w:p w:rsidR="00037169" w:rsidRDefault="00037169" w:rsidP="00037169">
      <w:pPr>
        <w:pStyle w:val="Naslov1"/>
        <w:numPr>
          <w:ilvl w:val="0"/>
          <w:numId w:val="2"/>
        </w:numPr>
      </w:pPr>
      <w:bookmarkStart w:id="1" w:name="_Toc180679087"/>
      <w:r w:rsidRPr="00037169">
        <w:lastRenderedPageBreak/>
        <w:t>UVOD</w:t>
      </w:r>
      <w:bookmarkEnd w:id="1"/>
    </w:p>
    <w:p w:rsidR="00037169" w:rsidRDefault="00037169" w:rsidP="00037169"/>
    <w:p w:rsidR="002C5246" w:rsidRDefault="00037169" w:rsidP="00037169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Sukladno Zakonu o proračunu (NN br. 144/21.), financijski plan proračunskog i izvanproračunskog korisnika sadrži kao i proračun: opći dio, posebni dio te obrazloženje općeg i posebnog dijela financijskog plana za trogodišnje razdoblje. Sadržaj i izgled financijskog plana proračunskog i izvanproračunskog korisnika Varaždinske županije propisan je Pravilnikom o planiranju u sustavu proračuna (NN br. 1/24.), člancima od 28. do zaključno s člankom 39. istog Pravilnika. Pravilnikom o planiranju u sustavu proračuna propisuje se način primjene modificiranog obračunskog načela </w:t>
      </w:r>
      <w:r w:rsidR="002C5246">
        <w:rPr>
          <w:rFonts w:ascii="Arial" w:hAnsi="Arial" w:cs="Arial"/>
          <w:sz w:val="24"/>
        </w:rPr>
        <w:t>u postupku planiranja i izvršavanja proračuna Jedinica lokalne i područne (regionalne) samouprave te financijskog plana njenih korisnika, izgled i sadržaj proračuna i financijskog plana, njihova dostava i objava.</w:t>
      </w:r>
    </w:p>
    <w:p w:rsidR="002C5246" w:rsidRDefault="002C5246" w:rsidP="00037169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 financijskom planu škole se uz podatke o planu za proračunsku godinu (2025.) i sljedeće dvije projekcijske godine (2026. i 2027.) iskazuju i podaci o tekućem planu za 2024. godinu u kojoj se financijski plan izrađuje te podaci o izvršenju za izvještajno razdoblje godine koja prethodi godini u kojoj se financijski plan izrađuje tj. 2023. godina.</w:t>
      </w:r>
    </w:p>
    <w:p w:rsidR="002C5246" w:rsidRDefault="002C5246" w:rsidP="00037169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 obrazloženju općeg dijela financijskog plana proračunskog i izvanproračunskog korisnika daje se opća slika financijskog plana kroz obrazloženje ukupnih prihoda, primitaka, rashoda i izdataka. Posebni dio obrazloženja financijskog plana proračunskog korisnika sastoji se od obrazloženja programa kroz aktivnosti i projekte zajedno s ciljevima i pokazateljima uspješnosti. </w:t>
      </w:r>
    </w:p>
    <w:p w:rsidR="002C5246" w:rsidRDefault="002C5246" w:rsidP="00037169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Financijsk</w:t>
      </w:r>
      <w:r w:rsidR="00DC35A1"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 xml:space="preserve"> plan Osnovne škole Beletinec za 2025. godinu iznosi </w:t>
      </w:r>
      <w:r>
        <w:rPr>
          <w:rFonts w:ascii="Arial" w:hAnsi="Arial" w:cs="Arial"/>
          <w:b/>
          <w:i/>
          <w:sz w:val="24"/>
        </w:rPr>
        <w:t xml:space="preserve">750.480,00 eura </w:t>
      </w:r>
      <w:r>
        <w:rPr>
          <w:rFonts w:ascii="Arial" w:hAnsi="Arial" w:cs="Arial"/>
          <w:sz w:val="24"/>
        </w:rPr>
        <w:t xml:space="preserve">kao i projekcije za 2026. i 2027. godinu. U odnosu na predloženi rebalans za 2024. godinu prijedlog plana nije se znatno mijenjao, uvećan je za 3,8%. </w:t>
      </w:r>
      <w:r w:rsidR="002B16CF">
        <w:rPr>
          <w:rFonts w:ascii="Arial" w:hAnsi="Arial" w:cs="Arial"/>
          <w:sz w:val="24"/>
        </w:rPr>
        <w:t>U odnosu na rebalans za 2024. godinu, rashodi poslovanja uvećani su za 3,59% te oni iznose 742.230,00 eura. Rashodi za nabavu nefinancijske imovine financijskim planom za 2025. godinu kao i projekcijama za 2026. i 2027. godinu planirani su u iznosu od 8.250,00 eura što je za 33,29</w:t>
      </w:r>
      <w:r w:rsidR="00C40195">
        <w:rPr>
          <w:rFonts w:ascii="Arial" w:hAnsi="Arial" w:cs="Arial"/>
          <w:sz w:val="24"/>
        </w:rPr>
        <w:t xml:space="preserve">% manje nego što je bilo planirano rebalansom u 2024. godini. </w:t>
      </w:r>
      <w:r w:rsidR="00CC357C">
        <w:rPr>
          <w:rFonts w:ascii="Arial" w:hAnsi="Arial" w:cs="Arial"/>
          <w:sz w:val="24"/>
        </w:rPr>
        <w:t xml:space="preserve">Sažetak financijskog plana za 2025. godinu i projekcije za 2026. i 2027. godinu prikazane su u </w:t>
      </w:r>
      <w:r w:rsidR="00CC357C" w:rsidRPr="00CC357C">
        <w:rPr>
          <w:rFonts w:ascii="Arial" w:hAnsi="Arial" w:cs="Arial"/>
          <w:b/>
          <w:i/>
          <w:sz w:val="24"/>
        </w:rPr>
        <w:t>Tablici 1.</w:t>
      </w:r>
      <w:r w:rsidR="00CC357C">
        <w:rPr>
          <w:rFonts w:ascii="Arial" w:hAnsi="Arial" w:cs="Arial"/>
          <w:sz w:val="24"/>
        </w:rPr>
        <w:t xml:space="preserve">, koja se nalazi ispod. </w:t>
      </w:r>
    </w:p>
    <w:p w:rsidR="00CC357C" w:rsidRDefault="00CC357C" w:rsidP="00037169">
      <w:pPr>
        <w:spacing w:line="360" w:lineRule="auto"/>
        <w:jc w:val="both"/>
        <w:rPr>
          <w:rFonts w:ascii="Arial" w:hAnsi="Arial" w:cs="Arial"/>
          <w:sz w:val="24"/>
        </w:rPr>
      </w:pPr>
    </w:p>
    <w:p w:rsidR="00CC357C" w:rsidRDefault="00CC357C" w:rsidP="00037169">
      <w:pPr>
        <w:spacing w:line="360" w:lineRule="auto"/>
        <w:jc w:val="both"/>
        <w:rPr>
          <w:rFonts w:ascii="Arial" w:hAnsi="Arial" w:cs="Arial"/>
          <w:sz w:val="24"/>
        </w:rPr>
      </w:pPr>
      <w:r w:rsidRPr="00CC357C">
        <w:rPr>
          <w:rFonts w:ascii="Arial" w:hAnsi="Arial" w:cs="Arial"/>
          <w:b/>
          <w:i/>
          <w:sz w:val="24"/>
        </w:rPr>
        <w:lastRenderedPageBreak/>
        <w:t xml:space="preserve">Tablica 1. </w:t>
      </w:r>
      <w:r>
        <w:rPr>
          <w:rFonts w:ascii="Arial" w:hAnsi="Arial" w:cs="Arial"/>
          <w:sz w:val="24"/>
        </w:rPr>
        <w:t xml:space="preserve">Sažetak Financijskog plana za razdoblje 2025.-2027. godine </w:t>
      </w:r>
    </w:p>
    <w:p w:rsidR="004072BB" w:rsidRDefault="00CC357C" w:rsidP="00037169">
      <w:pPr>
        <w:spacing w:line="360" w:lineRule="auto"/>
        <w:jc w:val="both"/>
        <w:rPr>
          <w:rFonts w:ascii="Arial" w:hAnsi="Arial" w:cs="Arial"/>
          <w:sz w:val="24"/>
        </w:rPr>
      </w:pPr>
      <w:r w:rsidRPr="00CC357C">
        <w:rPr>
          <w:noProof/>
        </w:rPr>
        <w:drawing>
          <wp:inline distT="0" distB="0" distL="0" distR="0">
            <wp:extent cx="5759644" cy="3336967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451" cy="3358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2BB" w:rsidRPr="004072BB" w:rsidRDefault="004072BB" w:rsidP="004072BB">
      <w:pPr>
        <w:rPr>
          <w:rFonts w:ascii="Arial" w:hAnsi="Arial" w:cs="Arial"/>
          <w:sz w:val="24"/>
        </w:rPr>
      </w:pPr>
    </w:p>
    <w:p w:rsidR="004072BB" w:rsidRPr="004072BB" w:rsidRDefault="004072BB" w:rsidP="004072BB">
      <w:pPr>
        <w:rPr>
          <w:rFonts w:ascii="Arial" w:hAnsi="Arial" w:cs="Arial"/>
          <w:sz w:val="24"/>
        </w:rPr>
      </w:pPr>
    </w:p>
    <w:p w:rsidR="004072BB" w:rsidRPr="004072BB" w:rsidRDefault="004072BB" w:rsidP="004072BB">
      <w:pPr>
        <w:rPr>
          <w:rFonts w:ascii="Arial" w:hAnsi="Arial" w:cs="Arial"/>
          <w:sz w:val="24"/>
        </w:rPr>
      </w:pPr>
    </w:p>
    <w:p w:rsidR="004072BB" w:rsidRPr="004072BB" w:rsidRDefault="004072BB" w:rsidP="004072BB">
      <w:pPr>
        <w:rPr>
          <w:rFonts w:ascii="Arial" w:hAnsi="Arial" w:cs="Arial"/>
          <w:sz w:val="24"/>
        </w:rPr>
      </w:pPr>
    </w:p>
    <w:p w:rsidR="004072BB" w:rsidRPr="004072BB" w:rsidRDefault="004072BB" w:rsidP="004072BB">
      <w:pPr>
        <w:rPr>
          <w:rFonts w:ascii="Arial" w:hAnsi="Arial" w:cs="Arial"/>
          <w:sz w:val="24"/>
        </w:rPr>
      </w:pPr>
    </w:p>
    <w:p w:rsidR="004072BB" w:rsidRPr="004072BB" w:rsidRDefault="004072BB" w:rsidP="004072BB">
      <w:pPr>
        <w:rPr>
          <w:rFonts w:ascii="Arial" w:hAnsi="Arial" w:cs="Arial"/>
          <w:sz w:val="24"/>
        </w:rPr>
      </w:pPr>
    </w:p>
    <w:p w:rsidR="004072BB" w:rsidRDefault="004072BB" w:rsidP="004072BB">
      <w:pPr>
        <w:rPr>
          <w:rFonts w:ascii="Arial" w:hAnsi="Arial" w:cs="Arial"/>
          <w:sz w:val="24"/>
        </w:rPr>
      </w:pPr>
    </w:p>
    <w:p w:rsidR="004072BB" w:rsidRDefault="004072B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CC357C" w:rsidRDefault="004072BB" w:rsidP="004072BB">
      <w:pPr>
        <w:pStyle w:val="Naslov1"/>
        <w:numPr>
          <w:ilvl w:val="0"/>
          <w:numId w:val="2"/>
        </w:numPr>
      </w:pPr>
      <w:bookmarkStart w:id="2" w:name="_Toc180679088"/>
      <w:r>
        <w:lastRenderedPageBreak/>
        <w:t>PRIHODI I PRIMICI</w:t>
      </w:r>
      <w:bookmarkEnd w:id="2"/>
    </w:p>
    <w:p w:rsidR="004072BB" w:rsidRDefault="004072BB" w:rsidP="004072BB">
      <w:pPr>
        <w:rPr>
          <w:rFonts w:ascii="Arial" w:hAnsi="Arial" w:cs="Arial"/>
          <w:sz w:val="24"/>
        </w:rPr>
      </w:pPr>
    </w:p>
    <w:p w:rsidR="004072BB" w:rsidRDefault="004072BB" w:rsidP="004072BB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Ukupni prihodi i primici za 2025. godinu, bez prenesenih viškova, predlažu se u iznosu od </w:t>
      </w:r>
      <w:r w:rsidR="00E55453">
        <w:rPr>
          <w:rFonts w:ascii="Arial" w:hAnsi="Arial" w:cs="Arial"/>
          <w:sz w:val="24"/>
        </w:rPr>
        <w:t>750.480,00 eura</w:t>
      </w:r>
      <w:r w:rsidR="00640EF1">
        <w:rPr>
          <w:rFonts w:ascii="Arial" w:hAnsi="Arial" w:cs="Arial"/>
          <w:sz w:val="24"/>
        </w:rPr>
        <w:t xml:space="preserve">, što je </w:t>
      </w:r>
      <w:r w:rsidR="0062298D">
        <w:rPr>
          <w:rFonts w:ascii="Arial" w:hAnsi="Arial" w:cs="Arial"/>
          <w:sz w:val="24"/>
        </w:rPr>
        <w:t>za 27.503,00 eura tj. za 3,8% više nego što je planirano rebalansom u 2024. godini. Projekcije za 2026. i 2027. godinu planirane su u istom iznosu kao i financijski plan za 2025. godinu.</w:t>
      </w:r>
      <w:r w:rsidR="00241FF3">
        <w:rPr>
          <w:rFonts w:ascii="Arial" w:hAnsi="Arial" w:cs="Arial"/>
          <w:sz w:val="24"/>
        </w:rPr>
        <w:t xml:space="preserve"> Tablicom ispod prikazani su planirani prihodi i primici financijskog plana za 2025. godinu i projekcije za 2026. i 2027. godinu. </w:t>
      </w:r>
    </w:p>
    <w:p w:rsidR="0062298D" w:rsidRDefault="0062298D" w:rsidP="004072BB">
      <w:pPr>
        <w:spacing w:line="360" w:lineRule="auto"/>
        <w:jc w:val="both"/>
        <w:rPr>
          <w:rFonts w:ascii="Arial" w:hAnsi="Arial" w:cs="Arial"/>
          <w:sz w:val="24"/>
        </w:rPr>
      </w:pPr>
    </w:p>
    <w:p w:rsidR="0062298D" w:rsidRDefault="0062298D" w:rsidP="004072BB">
      <w:pPr>
        <w:spacing w:line="360" w:lineRule="auto"/>
        <w:jc w:val="both"/>
        <w:rPr>
          <w:rFonts w:ascii="Arial" w:hAnsi="Arial" w:cs="Arial"/>
          <w:sz w:val="24"/>
        </w:rPr>
      </w:pPr>
      <w:r w:rsidRPr="0062298D">
        <w:rPr>
          <w:rFonts w:ascii="Arial" w:hAnsi="Arial" w:cs="Arial"/>
          <w:b/>
          <w:i/>
          <w:sz w:val="24"/>
        </w:rPr>
        <w:t xml:space="preserve">Tablica 2. </w:t>
      </w:r>
      <w:r>
        <w:rPr>
          <w:rFonts w:ascii="Arial" w:hAnsi="Arial" w:cs="Arial"/>
          <w:sz w:val="24"/>
        </w:rPr>
        <w:t>Prihodi i primici Financijskog plana za 2025. godinu i projekcije za 2026. i 2027. godinu</w:t>
      </w:r>
    </w:p>
    <w:p w:rsidR="0062298D" w:rsidRPr="0062298D" w:rsidRDefault="0062298D" w:rsidP="004072BB">
      <w:pPr>
        <w:spacing w:line="360" w:lineRule="auto"/>
        <w:jc w:val="both"/>
        <w:rPr>
          <w:rFonts w:ascii="Arial" w:hAnsi="Arial" w:cs="Arial"/>
          <w:sz w:val="24"/>
        </w:rPr>
      </w:pPr>
      <w:r w:rsidRPr="0062298D">
        <w:rPr>
          <w:noProof/>
        </w:rPr>
        <w:drawing>
          <wp:inline distT="0" distB="0" distL="0" distR="0">
            <wp:extent cx="5760041" cy="3716977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271" cy="3721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2BB" w:rsidRDefault="004072BB" w:rsidP="004072BB">
      <w:pPr>
        <w:rPr>
          <w:rFonts w:ascii="Arial" w:hAnsi="Arial" w:cs="Arial"/>
          <w:sz w:val="24"/>
        </w:rPr>
      </w:pPr>
    </w:p>
    <w:p w:rsidR="00B27CC6" w:rsidRPr="00B27CC6" w:rsidRDefault="00B27CC6" w:rsidP="00B27CC6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i/>
          <w:sz w:val="24"/>
        </w:rPr>
        <w:t xml:space="preserve">Grafikonom 1. </w:t>
      </w:r>
      <w:r>
        <w:rPr>
          <w:rFonts w:ascii="Arial" w:hAnsi="Arial" w:cs="Arial"/>
          <w:sz w:val="24"/>
        </w:rPr>
        <w:t xml:space="preserve">koji se nalazi u nastavku, vidljivo je da se najveći dio prihoda i primitaka odnosi na pomoći iz inozemstva i od subjekata unutar opće proračuna (87,37%) , zatim slijede prihodi iz nadležnog proračuna i od HZZO-a temeljem ugovornih obveza (8,92%) i prihodi od upravnih i administrativnih pristojbi, pristojbi po posebnim propisima i naknada (3,20%). Prihodi od imovine i prihodi od prodaje proizvoda i robe </w:t>
      </w:r>
      <w:r>
        <w:rPr>
          <w:rFonts w:ascii="Arial" w:hAnsi="Arial" w:cs="Arial"/>
          <w:sz w:val="24"/>
        </w:rPr>
        <w:lastRenderedPageBreak/>
        <w:t xml:space="preserve">te pružanih usluga i prihodi od donacija te povrati po protestiranim jamstvima nemaju značajan udio u sveukupnim prihodima (0,51%). </w:t>
      </w:r>
    </w:p>
    <w:p w:rsidR="00B27CC6" w:rsidRDefault="00241FF3" w:rsidP="004072BB">
      <w:pPr>
        <w:rPr>
          <w:rFonts w:ascii="Arial" w:hAnsi="Arial" w:cs="Arial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4DE371A" wp14:editId="4F26AA10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5591175" cy="4005263"/>
            <wp:effectExtent l="0" t="0" r="9525" b="14605"/>
            <wp:wrapTopAndBottom/>
            <wp:docPr id="3" name="Grafikon 3">
              <a:extLst xmlns:a="http://schemas.openxmlformats.org/drawingml/2006/main">
                <a:ext uri="{FF2B5EF4-FFF2-40B4-BE49-F238E27FC236}">
                  <a16:creationId xmlns:a16="http://schemas.microsoft.com/office/drawing/2014/main" id="{9DD43409-B3A1-4CC5-96CD-8316C5B88DC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7CC6" w:rsidRPr="00B27CC6" w:rsidRDefault="00B27CC6" w:rsidP="00B27CC6">
      <w:pPr>
        <w:rPr>
          <w:rFonts w:ascii="Arial" w:hAnsi="Arial" w:cs="Arial"/>
          <w:sz w:val="24"/>
        </w:rPr>
      </w:pPr>
    </w:p>
    <w:p w:rsidR="00B27CC6" w:rsidRPr="00B27CC6" w:rsidRDefault="00B27CC6" w:rsidP="00B27CC6">
      <w:pPr>
        <w:rPr>
          <w:rFonts w:ascii="Arial" w:hAnsi="Arial" w:cs="Arial"/>
          <w:sz w:val="24"/>
        </w:rPr>
      </w:pPr>
    </w:p>
    <w:p w:rsidR="00B27CC6" w:rsidRPr="00B27CC6" w:rsidRDefault="00B27CC6" w:rsidP="00B27CC6">
      <w:pPr>
        <w:pStyle w:val="Naslov2"/>
        <w:rPr>
          <w:b/>
          <w:i/>
        </w:rPr>
      </w:pPr>
      <w:bookmarkStart w:id="3" w:name="_Toc180679089"/>
      <w:r w:rsidRPr="00B27CC6">
        <w:rPr>
          <w:b/>
          <w:i/>
        </w:rPr>
        <w:t>2.1 Pomoći iz inozemstva i od subjekata unutar općeg proračuna</w:t>
      </w:r>
      <w:bookmarkEnd w:id="3"/>
      <w:r w:rsidRPr="00B27CC6">
        <w:rPr>
          <w:b/>
          <w:i/>
        </w:rPr>
        <w:t xml:space="preserve"> </w:t>
      </w:r>
    </w:p>
    <w:p w:rsidR="00B27CC6" w:rsidRPr="00B27CC6" w:rsidRDefault="00B27CC6" w:rsidP="00B27CC6">
      <w:pPr>
        <w:rPr>
          <w:rFonts w:ascii="Arial" w:hAnsi="Arial" w:cs="Arial"/>
          <w:sz w:val="24"/>
        </w:rPr>
      </w:pPr>
    </w:p>
    <w:p w:rsidR="00B27CC6" w:rsidRDefault="00B27CC6" w:rsidP="00AF0A7C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AF0A7C">
        <w:rPr>
          <w:rFonts w:ascii="Arial" w:hAnsi="Arial" w:cs="Arial"/>
          <w:sz w:val="24"/>
        </w:rPr>
        <w:t xml:space="preserve">Pomoći iz inozemstva i od subjekata unutar općeg proračuna su najveći planirani prihodi i to u iznosu od 655.700,00 eura. Ovi prihodi obuhvaćaju prihode za zaposlene, materijalna prava zaposlenika te prihode za financiranje školske prehrane financirani od strane Ministarstva znanosti, obrazovanja i mladih. U odnosu na rebalans 2024. godine, ovi prihodi financijskim planom za 2025. godinu i projekcijama za 2026. i 2027. godinu uvećani su za 4,64%. </w:t>
      </w:r>
    </w:p>
    <w:p w:rsidR="00AF0A7C" w:rsidRDefault="00AF0A7C" w:rsidP="00AF0A7C">
      <w:pPr>
        <w:spacing w:line="360" w:lineRule="auto"/>
        <w:jc w:val="both"/>
        <w:rPr>
          <w:rFonts w:ascii="Arial" w:hAnsi="Arial" w:cs="Arial"/>
          <w:sz w:val="24"/>
        </w:rPr>
      </w:pPr>
    </w:p>
    <w:p w:rsidR="00A05A20" w:rsidRDefault="00A05A20" w:rsidP="00AF0A7C">
      <w:pPr>
        <w:spacing w:line="360" w:lineRule="auto"/>
        <w:jc w:val="both"/>
        <w:rPr>
          <w:rFonts w:ascii="Arial" w:hAnsi="Arial" w:cs="Arial"/>
          <w:sz w:val="24"/>
        </w:rPr>
      </w:pPr>
    </w:p>
    <w:p w:rsidR="00A05A20" w:rsidRDefault="00A05A20" w:rsidP="00AF0A7C">
      <w:pPr>
        <w:spacing w:line="360" w:lineRule="auto"/>
        <w:jc w:val="both"/>
        <w:rPr>
          <w:rFonts w:ascii="Arial" w:hAnsi="Arial" w:cs="Arial"/>
          <w:sz w:val="24"/>
        </w:rPr>
      </w:pPr>
    </w:p>
    <w:p w:rsidR="00AF0A7C" w:rsidRPr="00AF0A7C" w:rsidRDefault="00AF0A7C" w:rsidP="00AF0A7C">
      <w:pPr>
        <w:pStyle w:val="Naslov2"/>
        <w:rPr>
          <w:b/>
          <w:i/>
        </w:rPr>
      </w:pPr>
      <w:bookmarkStart w:id="4" w:name="_Toc180679090"/>
      <w:r>
        <w:rPr>
          <w:b/>
          <w:i/>
        </w:rPr>
        <w:lastRenderedPageBreak/>
        <w:t xml:space="preserve">2.2 </w:t>
      </w:r>
      <w:r w:rsidRPr="00AF0A7C">
        <w:rPr>
          <w:b/>
          <w:i/>
        </w:rPr>
        <w:t>Prihodi od imovine</w:t>
      </w:r>
      <w:bookmarkEnd w:id="4"/>
      <w:r w:rsidRPr="00AF0A7C">
        <w:rPr>
          <w:b/>
          <w:i/>
        </w:rPr>
        <w:t xml:space="preserve"> </w:t>
      </w:r>
    </w:p>
    <w:p w:rsidR="00B27CC6" w:rsidRDefault="00B27CC6" w:rsidP="00B27CC6">
      <w:pPr>
        <w:rPr>
          <w:rFonts w:ascii="Arial" w:hAnsi="Arial" w:cs="Arial"/>
          <w:sz w:val="24"/>
        </w:rPr>
      </w:pPr>
    </w:p>
    <w:p w:rsidR="00AF0A7C" w:rsidRDefault="00AF0A7C" w:rsidP="00AF0A7C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Prihodi od imovine su vlastiti prihodi i odnose se na kamate na depozite po viđenju. Financijskim planom 2025. godine oni su planirani u iznosu od 100,00 eura.</w:t>
      </w:r>
    </w:p>
    <w:p w:rsidR="00AF0A7C" w:rsidRDefault="00AF0A7C" w:rsidP="00AF0A7C">
      <w:pPr>
        <w:spacing w:line="360" w:lineRule="auto"/>
        <w:jc w:val="both"/>
        <w:rPr>
          <w:rFonts w:ascii="Arial" w:hAnsi="Arial" w:cs="Arial"/>
          <w:sz w:val="24"/>
        </w:rPr>
      </w:pPr>
    </w:p>
    <w:p w:rsidR="00AF0A7C" w:rsidRDefault="00AF0A7C" w:rsidP="00A05A20">
      <w:pPr>
        <w:pStyle w:val="Naslov2"/>
        <w:rPr>
          <w:b/>
          <w:i/>
        </w:rPr>
      </w:pPr>
      <w:bookmarkStart w:id="5" w:name="_Toc180679091"/>
      <w:r w:rsidRPr="00A05A20">
        <w:rPr>
          <w:b/>
          <w:i/>
        </w:rPr>
        <w:t>2.3 Prihodi od upravnih i administrativnih pristojbi, pristojbi po posebnim propisima i naknada</w:t>
      </w:r>
      <w:bookmarkEnd w:id="5"/>
    </w:p>
    <w:p w:rsidR="00A05A20" w:rsidRPr="00A05A20" w:rsidRDefault="00A05A20" w:rsidP="00A05A20"/>
    <w:p w:rsidR="00AF0A7C" w:rsidRDefault="00AF0A7C" w:rsidP="00AF0A7C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Ovi prihodi odnose se na sufinanciranje usluge produženog boravka od strane roditelja u fiksnom mjesečnom iznosu od 45,46 eura te uplate roditelja za terensku nastavu, izlete i osiguranje učenika. Financijskim planom za 2025. godinu i projekcijama za 2026. i 2027. godinu ovi prihodi planirani su u iznosu od 24.000,00 eura. Projekcija je rađena na broju planiranih učenika upisanih u produženi boravak. </w:t>
      </w:r>
    </w:p>
    <w:p w:rsidR="00AC04F3" w:rsidRDefault="00AC04F3" w:rsidP="00AF0A7C">
      <w:pPr>
        <w:spacing w:line="360" w:lineRule="auto"/>
        <w:jc w:val="both"/>
        <w:rPr>
          <w:rFonts w:ascii="Arial" w:hAnsi="Arial" w:cs="Arial"/>
          <w:sz w:val="24"/>
        </w:rPr>
      </w:pPr>
    </w:p>
    <w:p w:rsidR="00AC04F3" w:rsidRDefault="00AC04F3" w:rsidP="00A05A20">
      <w:pPr>
        <w:pStyle w:val="Naslov2"/>
        <w:rPr>
          <w:b/>
          <w:i/>
        </w:rPr>
      </w:pPr>
      <w:bookmarkStart w:id="6" w:name="_Toc180679092"/>
      <w:r w:rsidRPr="00A05A20">
        <w:rPr>
          <w:b/>
          <w:i/>
        </w:rPr>
        <w:t>2.4 Pr</w:t>
      </w:r>
      <w:r w:rsidR="004A2A9A" w:rsidRPr="00A05A20">
        <w:rPr>
          <w:b/>
          <w:i/>
        </w:rPr>
        <w:t>ihodi od prodaje proizvoda i robe te pruženih usluga i prihodi od donacija te povrati po protestiranim jamstvima</w:t>
      </w:r>
      <w:bookmarkEnd w:id="6"/>
      <w:r w:rsidR="004A2A9A" w:rsidRPr="00A05A20">
        <w:rPr>
          <w:b/>
          <w:i/>
        </w:rPr>
        <w:t xml:space="preserve"> </w:t>
      </w:r>
    </w:p>
    <w:p w:rsidR="00A05A20" w:rsidRPr="00A05A20" w:rsidRDefault="00A05A20" w:rsidP="00A05A20"/>
    <w:p w:rsidR="004A2A9A" w:rsidRDefault="004A2A9A" w:rsidP="00AF0A7C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Ovi prihodi odnose se na prihode od prodaje proizvoda od učeničke zadruge i primljenih donacija od stalih subjekata izvan općeg proračuna te sredstva dobivena od najama učionica i školske dvorane. Financijskim planom za 2025. godinu i projekcijama za 2026. i 2027. godinu ovi prihodi planirani su u iznosu od 3.700,00 eura. Ovi prihodi financirani su iz vlastitih izvora.</w:t>
      </w:r>
    </w:p>
    <w:p w:rsidR="004A2A9A" w:rsidRDefault="004A2A9A" w:rsidP="00AF0A7C">
      <w:pPr>
        <w:spacing w:line="360" w:lineRule="auto"/>
        <w:jc w:val="both"/>
        <w:rPr>
          <w:rFonts w:ascii="Arial" w:hAnsi="Arial" w:cs="Arial"/>
          <w:sz w:val="24"/>
        </w:rPr>
      </w:pPr>
    </w:p>
    <w:p w:rsidR="004A2A9A" w:rsidRDefault="004A2A9A" w:rsidP="00A05A20">
      <w:pPr>
        <w:pStyle w:val="Naslov2"/>
        <w:rPr>
          <w:b/>
          <w:i/>
        </w:rPr>
      </w:pPr>
      <w:bookmarkStart w:id="7" w:name="_Toc180679093"/>
      <w:r w:rsidRPr="00A05A20">
        <w:rPr>
          <w:b/>
          <w:i/>
        </w:rPr>
        <w:t>2.5 Prihodi iz nadležnog proračuna i od HZZO-a temeljem ugovornih obveza</w:t>
      </w:r>
      <w:bookmarkEnd w:id="7"/>
    </w:p>
    <w:p w:rsidR="00A05A20" w:rsidRPr="00A05A20" w:rsidRDefault="00A05A20" w:rsidP="00A05A20"/>
    <w:p w:rsidR="004A2A9A" w:rsidRDefault="004A2A9A" w:rsidP="00AF0A7C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Prihodi iz nadležnog proračuna koriste se za financiranje redovne djelatnosti proračunskih korisnika na temelju Odluke o utvrđenim kriterijima, mjerilima i načinu financiranja minimalnog financijskog standarda javnih potreba u osnovnoj školi. Financijskim planom za 2025. godinu i projekcijama za 2026. i 2027. godinu ovi prihodi planirani su u iznosu od 66.980,00 eura. U odnosu na rebalans 2024. godine nije bilo značajnih promjena.</w:t>
      </w:r>
    </w:p>
    <w:p w:rsidR="004A2A9A" w:rsidRDefault="004A2A9A" w:rsidP="00AF0A7C">
      <w:pPr>
        <w:spacing w:line="360" w:lineRule="auto"/>
        <w:jc w:val="both"/>
        <w:rPr>
          <w:rFonts w:ascii="Arial" w:hAnsi="Arial" w:cs="Arial"/>
          <w:sz w:val="24"/>
        </w:rPr>
      </w:pPr>
    </w:p>
    <w:p w:rsidR="004A2A9A" w:rsidRPr="00A05A20" w:rsidRDefault="004A2A9A" w:rsidP="00A05A20">
      <w:pPr>
        <w:pStyle w:val="Naslov2"/>
        <w:rPr>
          <w:b/>
          <w:i/>
        </w:rPr>
      </w:pPr>
      <w:bookmarkStart w:id="8" w:name="_Toc180679094"/>
      <w:r w:rsidRPr="00A05A20">
        <w:rPr>
          <w:b/>
          <w:i/>
        </w:rPr>
        <w:t>2.6 Prihodi i primici po izvorima financiranja</w:t>
      </w:r>
      <w:bookmarkEnd w:id="8"/>
    </w:p>
    <w:p w:rsidR="004A2A9A" w:rsidRDefault="004A2A9A" w:rsidP="00AF0A7C">
      <w:pPr>
        <w:spacing w:line="360" w:lineRule="auto"/>
        <w:jc w:val="both"/>
        <w:rPr>
          <w:rFonts w:ascii="Arial" w:hAnsi="Arial" w:cs="Arial"/>
          <w:sz w:val="24"/>
        </w:rPr>
      </w:pPr>
    </w:p>
    <w:p w:rsidR="004A2A9A" w:rsidRDefault="004A2A9A" w:rsidP="00AF0A7C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Prihodi i primici razvrstani po izvorima financiranja prikazani su </w:t>
      </w:r>
      <w:r w:rsidRPr="004A2A9A">
        <w:rPr>
          <w:rFonts w:ascii="Arial" w:hAnsi="Arial" w:cs="Arial"/>
          <w:b/>
          <w:i/>
          <w:sz w:val="24"/>
        </w:rPr>
        <w:t xml:space="preserve">Grafikonom 2. </w:t>
      </w:r>
      <w:r>
        <w:rPr>
          <w:rFonts w:ascii="Arial" w:hAnsi="Arial" w:cs="Arial"/>
          <w:sz w:val="24"/>
        </w:rPr>
        <w:t xml:space="preserve">ispod iz kojeg je vidljivo da se najveći dio rashoda financira iz izvora Ostale pomoći </w:t>
      </w:r>
      <w:r w:rsidR="00945985">
        <w:rPr>
          <w:rFonts w:ascii="Arial" w:hAnsi="Arial" w:cs="Arial"/>
          <w:sz w:val="24"/>
        </w:rPr>
        <w:t xml:space="preserve">87,37%. Ovi prihodi planirani su za plaće i materijalna prava zaposlenika te školsku prehranu učenika koju financira Ministarstvo znanosti, obrazovanja i mladih. Na izvoru decentralizirana sredstva planiraju se prihodi za pokriće rashoda iz nadležnog proračuna za financiranje redovne djelatnosti škole, a koji su utvrđeni kriterijima, mjerilima i načinu financiranja minimalnog financijskog standarda javnih potreba. Udio prihoda planiranih na izvoru decentralizirana sredstva iznosi 6,72%. Svi prihodi planirani po pojedinim izvorima mogu se utrošiti samo za unaprijed utvrđene namjene. </w:t>
      </w:r>
    </w:p>
    <w:p w:rsidR="00945985" w:rsidRPr="004A2A9A" w:rsidRDefault="00945985" w:rsidP="00AF0A7C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347F9EE" wp14:editId="4B4BD5DC">
            <wp:simplePos x="0" y="0"/>
            <wp:positionH relativeFrom="margin">
              <wp:align>left</wp:align>
            </wp:positionH>
            <wp:positionV relativeFrom="paragraph">
              <wp:posOffset>360680</wp:posOffset>
            </wp:positionV>
            <wp:extent cx="6127115" cy="3883025"/>
            <wp:effectExtent l="0" t="0" r="6985" b="3175"/>
            <wp:wrapTopAndBottom/>
            <wp:docPr id="4" name="Grafikon 4">
              <a:extLst xmlns:a="http://schemas.openxmlformats.org/drawingml/2006/main">
                <a:ext uri="{FF2B5EF4-FFF2-40B4-BE49-F238E27FC236}">
                  <a16:creationId xmlns:a16="http://schemas.microsoft.com/office/drawing/2014/main" id="{3BEF8AB8-24E1-476E-B0CC-FEFE7AC442A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7CC6" w:rsidRDefault="00B27CC6" w:rsidP="00B27CC6">
      <w:pPr>
        <w:rPr>
          <w:rFonts w:ascii="Arial" w:hAnsi="Arial" w:cs="Arial"/>
          <w:sz w:val="24"/>
        </w:rPr>
      </w:pPr>
    </w:p>
    <w:p w:rsidR="00A05A20" w:rsidRDefault="00A05A20" w:rsidP="00B27CC6">
      <w:pPr>
        <w:rPr>
          <w:rFonts w:ascii="Arial" w:hAnsi="Arial" w:cs="Arial"/>
          <w:sz w:val="24"/>
        </w:rPr>
      </w:pPr>
    </w:p>
    <w:p w:rsidR="00A05A20" w:rsidRDefault="00A05A20" w:rsidP="00B27CC6">
      <w:pPr>
        <w:rPr>
          <w:rFonts w:ascii="Arial" w:hAnsi="Arial" w:cs="Arial"/>
          <w:sz w:val="24"/>
        </w:rPr>
      </w:pPr>
    </w:p>
    <w:p w:rsidR="00A05A20" w:rsidRDefault="00A05A20" w:rsidP="00B27CC6">
      <w:pPr>
        <w:rPr>
          <w:rFonts w:ascii="Arial" w:hAnsi="Arial" w:cs="Arial"/>
          <w:sz w:val="24"/>
        </w:rPr>
      </w:pPr>
    </w:p>
    <w:p w:rsidR="00A05A20" w:rsidRDefault="00A05A20" w:rsidP="00B27CC6">
      <w:pPr>
        <w:rPr>
          <w:rFonts w:ascii="Arial" w:hAnsi="Arial" w:cs="Arial"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19F88500" wp14:editId="6E131914">
            <wp:simplePos x="0" y="0"/>
            <wp:positionH relativeFrom="column">
              <wp:posOffset>-543560</wp:posOffset>
            </wp:positionH>
            <wp:positionV relativeFrom="paragraph">
              <wp:posOffset>406400</wp:posOffset>
            </wp:positionV>
            <wp:extent cx="6757035" cy="2360295"/>
            <wp:effectExtent l="0" t="0" r="5715" b="1905"/>
            <wp:wrapTopAndBottom/>
            <wp:docPr id="5" name="Grafikon 5">
              <a:extLst xmlns:a="http://schemas.openxmlformats.org/drawingml/2006/main">
                <a:ext uri="{FF2B5EF4-FFF2-40B4-BE49-F238E27FC236}">
                  <a16:creationId xmlns:a16="http://schemas.microsoft.com/office/drawing/2014/main" id="{3BEF8AB8-24E1-476E-B0CC-FEFE7AC442A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5A20" w:rsidRDefault="00A05A20" w:rsidP="00B27CC6">
      <w:pPr>
        <w:rPr>
          <w:rFonts w:ascii="Arial" w:hAnsi="Arial" w:cs="Arial"/>
          <w:sz w:val="24"/>
        </w:rPr>
      </w:pPr>
    </w:p>
    <w:p w:rsidR="00A05A20" w:rsidRDefault="00A05A20" w:rsidP="00B27CC6">
      <w:pPr>
        <w:rPr>
          <w:rFonts w:ascii="Arial" w:hAnsi="Arial" w:cs="Arial"/>
          <w:sz w:val="24"/>
        </w:rPr>
      </w:pPr>
    </w:p>
    <w:p w:rsidR="00A05A20" w:rsidRDefault="00A05A20" w:rsidP="00B27CC6">
      <w:pPr>
        <w:rPr>
          <w:rFonts w:ascii="Arial" w:hAnsi="Arial" w:cs="Arial"/>
          <w:sz w:val="24"/>
        </w:rPr>
      </w:pPr>
    </w:p>
    <w:p w:rsidR="00A05A20" w:rsidRDefault="00A05A20" w:rsidP="00B27CC6">
      <w:pPr>
        <w:rPr>
          <w:rFonts w:ascii="Arial" w:hAnsi="Arial" w:cs="Arial"/>
          <w:sz w:val="24"/>
        </w:rPr>
      </w:pPr>
    </w:p>
    <w:p w:rsidR="00A05A20" w:rsidRDefault="00A05A2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A05A20" w:rsidRPr="00B27CC6" w:rsidRDefault="00A05A20" w:rsidP="00B27CC6">
      <w:pPr>
        <w:rPr>
          <w:rFonts w:ascii="Arial" w:hAnsi="Arial" w:cs="Arial"/>
          <w:sz w:val="24"/>
        </w:rPr>
      </w:pPr>
    </w:p>
    <w:p w:rsidR="00B27CC6" w:rsidRDefault="00945985" w:rsidP="00A05A20">
      <w:pPr>
        <w:pStyle w:val="Naslov1"/>
        <w:numPr>
          <w:ilvl w:val="0"/>
          <w:numId w:val="2"/>
        </w:numPr>
      </w:pPr>
      <w:bookmarkStart w:id="9" w:name="_Toc180679095"/>
      <w:r>
        <w:t>RASHODI I IZDACI</w:t>
      </w:r>
      <w:bookmarkEnd w:id="9"/>
    </w:p>
    <w:p w:rsidR="00945985" w:rsidRDefault="00945985" w:rsidP="00945985">
      <w:pPr>
        <w:rPr>
          <w:rFonts w:ascii="Arial" w:hAnsi="Arial" w:cs="Arial"/>
          <w:sz w:val="24"/>
        </w:rPr>
      </w:pPr>
    </w:p>
    <w:p w:rsidR="00945985" w:rsidRDefault="00945985" w:rsidP="00945985">
      <w:pPr>
        <w:spacing w:line="360" w:lineRule="auto"/>
        <w:ind w:left="35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Ukupni rashodi i izdaci predloženi financijskim planom za 2025. godinu iznose </w:t>
      </w:r>
      <w:r w:rsidR="00C4127B">
        <w:rPr>
          <w:rFonts w:ascii="Arial" w:hAnsi="Arial" w:cs="Arial"/>
          <w:sz w:val="24"/>
        </w:rPr>
        <w:t xml:space="preserve">750.480,00 eura, isto kao i u projekcijama za 2026. i 2027. godinu. U odnosu na rebalans 2024. godine ukupni rashodi novim planom uvećani su za 2,97%. Tablicom ispod prikazani su rashodi i izdaci prema ekonomskoj klasifikaciji. </w:t>
      </w:r>
    </w:p>
    <w:p w:rsidR="00C4127B" w:rsidRDefault="00C4127B" w:rsidP="00945985">
      <w:pPr>
        <w:spacing w:line="360" w:lineRule="auto"/>
        <w:ind w:left="357"/>
        <w:jc w:val="both"/>
        <w:rPr>
          <w:rFonts w:ascii="Arial" w:hAnsi="Arial" w:cs="Arial"/>
          <w:sz w:val="24"/>
        </w:rPr>
      </w:pPr>
    </w:p>
    <w:p w:rsidR="00C4127B" w:rsidRDefault="00C4127B" w:rsidP="00945985">
      <w:pPr>
        <w:spacing w:line="360" w:lineRule="auto"/>
        <w:ind w:left="357"/>
        <w:jc w:val="both"/>
        <w:rPr>
          <w:rFonts w:ascii="Arial" w:hAnsi="Arial" w:cs="Arial"/>
          <w:sz w:val="24"/>
        </w:rPr>
      </w:pPr>
      <w:r w:rsidRPr="00C4127B">
        <w:rPr>
          <w:rFonts w:ascii="Arial" w:hAnsi="Arial" w:cs="Arial"/>
          <w:b/>
          <w:i/>
          <w:sz w:val="24"/>
        </w:rPr>
        <w:t>Tablica 3</w:t>
      </w:r>
      <w:r>
        <w:rPr>
          <w:rFonts w:ascii="Arial" w:hAnsi="Arial" w:cs="Arial"/>
          <w:sz w:val="24"/>
        </w:rPr>
        <w:t xml:space="preserve">. Rashodi i izdaci Financijskog plana za 2025. godinu i projekcije za 2026. i 2027. godinu </w:t>
      </w:r>
    </w:p>
    <w:p w:rsidR="00C4127B" w:rsidRPr="00C4127B" w:rsidRDefault="00C4127B" w:rsidP="00945985">
      <w:pPr>
        <w:spacing w:line="360" w:lineRule="auto"/>
        <w:ind w:left="357"/>
        <w:jc w:val="both"/>
        <w:rPr>
          <w:rFonts w:ascii="Arial" w:hAnsi="Arial" w:cs="Arial"/>
          <w:sz w:val="24"/>
        </w:rPr>
      </w:pPr>
      <w:r w:rsidRPr="00C4127B">
        <w:rPr>
          <w:noProof/>
        </w:rPr>
        <w:drawing>
          <wp:inline distT="0" distB="0" distL="0" distR="0">
            <wp:extent cx="5760635" cy="3503221"/>
            <wp:effectExtent l="0" t="0" r="0" b="254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661" cy="3505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CC6" w:rsidRDefault="00B27CC6" w:rsidP="00B27CC6">
      <w:pPr>
        <w:rPr>
          <w:rFonts w:ascii="Arial" w:hAnsi="Arial" w:cs="Arial"/>
          <w:sz w:val="24"/>
        </w:rPr>
      </w:pPr>
    </w:p>
    <w:p w:rsidR="00C4127B" w:rsidRPr="00C4127B" w:rsidRDefault="00C4127B" w:rsidP="00C4127B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 nastavku </w:t>
      </w:r>
      <w:r w:rsidRPr="00C4127B">
        <w:rPr>
          <w:rFonts w:ascii="Arial" w:hAnsi="Arial" w:cs="Arial"/>
          <w:b/>
          <w:i/>
          <w:sz w:val="24"/>
        </w:rPr>
        <w:t>Grafikonom 3</w:t>
      </w:r>
      <w:r>
        <w:rPr>
          <w:rFonts w:ascii="Arial" w:hAnsi="Arial" w:cs="Arial"/>
          <w:sz w:val="24"/>
        </w:rPr>
        <w:t xml:space="preserve"> </w:t>
      </w:r>
      <w:r w:rsidR="00D43D5A">
        <w:rPr>
          <w:rFonts w:ascii="Arial" w:hAnsi="Arial" w:cs="Arial"/>
          <w:sz w:val="24"/>
        </w:rPr>
        <w:t xml:space="preserve">vidljivo je kako se najveći udio rashoda i izdataka odnosi na rashode za zaposlene (82,16%), slijede materijalni rashodi (16,27%) zatim naknade građanima i kućanstvima na temelju osiguranja i druge naknade (0,35%), rashodi za nabavu proizvedene dugotrajne imovine (1,09%), financijski rashodi (0,09%), ostali rashodi (0,02%) te rashodi za dodatna ulaganja na nefinancijskoj imovini (0,02%). </w:t>
      </w:r>
    </w:p>
    <w:p w:rsidR="00B27CC6" w:rsidRPr="00B27CC6" w:rsidRDefault="00C4127B" w:rsidP="00B27CC6">
      <w:pPr>
        <w:rPr>
          <w:rFonts w:ascii="Arial" w:hAnsi="Arial" w:cs="Arial"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58C69013" wp14:editId="02EFC8A3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5372100" cy="3738564"/>
            <wp:effectExtent l="0" t="0" r="0" b="14605"/>
            <wp:wrapTopAndBottom/>
            <wp:docPr id="7" name="Grafikon 7">
              <a:extLst xmlns:a="http://schemas.openxmlformats.org/drawingml/2006/main">
                <a:ext uri="{FF2B5EF4-FFF2-40B4-BE49-F238E27FC236}">
                  <a16:creationId xmlns:a16="http://schemas.microsoft.com/office/drawing/2014/main" id="{2C2BEE26-8928-49F9-BC18-8A9EFD60488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7CC6" w:rsidRPr="00B27CC6" w:rsidRDefault="00B27CC6" w:rsidP="00B27CC6">
      <w:pPr>
        <w:rPr>
          <w:rFonts w:ascii="Arial" w:hAnsi="Arial" w:cs="Arial"/>
          <w:sz w:val="24"/>
        </w:rPr>
      </w:pPr>
    </w:p>
    <w:p w:rsidR="002F5EE9" w:rsidRDefault="002F5EE9" w:rsidP="00B27CC6">
      <w:pPr>
        <w:rPr>
          <w:rFonts w:ascii="Arial" w:hAnsi="Arial" w:cs="Arial"/>
          <w:sz w:val="24"/>
        </w:rPr>
      </w:pPr>
    </w:p>
    <w:p w:rsidR="00B27CC6" w:rsidRPr="00A05A20" w:rsidRDefault="002F5EE9" w:rsidP="00A05A20">
      <w:pPr>
        <w:pStyle w:val="Naslov2"/>
        <w:rPr>
          <w:b/>
          <w:i/>
        </w:rPr>
      </w:pPr>
      <w:bookmarkStart w:id="10" w:name="_Toc180679096"/>
      <w:r w:rsidRPr="00A05A20">
        <w:rPr>
          <w:b/>
          <w:i/>
        </w:rPr>
        <w:t>3.1 Rashodi poslovanja</w:t>
      </w:r>
      <w:bookmarkEnd w:id="10"/>
    </w:p>
    <w:p w:rsidR="002F5EE9" w:rsidRDefault="002F5EE9" w:rsidP="00B27CC6">
      <w:pPr>
        <w:rPr>
          <w:rFonts w:ascii="Arial" w:hAnsi="Arial" w:cs="Arial"/>
          <w:sz w:val="24"/>
        </w:rPr>
      </w:pPr>
    </w:p>
    <w:p w:rsidR="002F5EE9" w:rsidRDefault="002F5EE9" w:rsidP="001D3F86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1D3F86">
        <w:rPr>
          <w:rFonts w:ascii="Arial" w:hAnsi="Arial" w:cs="Arial"/>
          <w:sz w:val="24"/>
        </w:rPr>
        <w:t xml:space="preserve">Ukupni rashodi poslovanja u 2025. godini planirani su u iznosu od 742.230,00 eura što je za </w:t>
      </w:r>
      <w:r w:rsidR="00643A96">
        <w:rPr>
          <w:rFonts w:ascii="Arial" w:hAnsi="Arial" w:cs="Arial"/>
          <w:sz w:val="24"/>
        </w:rPr>
        <w:t>3,59% u odnosu na rebalans 2024. godine. Rashodi poslovanja sastoji se od rashoda za zaposlene, materijalnih rashoda, financijskih rashoda, naknada građanima i kućanstvima na temelju osiguranja i druge naknade te ostali rashodi.</w:t>
      </w:r>
    </w:p>
    <w:p w:rsidR="00643A96" w:rsidRDefault="00643A96" w:rsidP="001D3F86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643A96">
        <w:rPr>
          <w:rFonts w:ascii="Arial" w:hAnsi="Arial" w:cs="Arial"/>
          <w:b/>
          <w:i/>
          <w:sz w:val="24"/>
        </w:rPr>
        <w:t xml:space="preserve">Rashodi za zaposlene </w:t>
      </w:r>
      <w:r>
        <w:rPr>
          <w:rFonts w:ascii="Arial" w:hAnsi="Arial" w:cs="Arial"/>
          <w:sz w:val="24"/>
        </w:rPr>
        <w:t>u 2025. godini planirani su u iznosu od 616.620,00 eura što je u odnosu na 2024. godinu povećanje za 4,93%. Do povećanje rashoda došlo je zbog potreba zapošljavanja učiteljice na puno radno vrijeme u produženom boravku radi većeg broja upisa učenika u isti.</w:t>
      </w:r>
    </w:p>
    <w:p w:rsidR="00643A96" w:rsidRDefault="00643A96" w:rsidP="001D3F86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643A96">
        <w:rPr>
          <w:rFonts w:ascii="Arial" w:hAnsi="Arial" w:cs="Arial"/>
          <w:b/>
          <w:i/>
          <w:sz w:val="24"/>
        </w:rPr>
        <w:t xml:space="preserve">Materijalni rashodi </w:t>
      </w:r>
      <w:r>
        <w:rPr>
          <w:rFonts w:ascii="Arial" w:hAnsi="Arial" w:cs="Arial"/>
          <w:sz w:val="24"/>
        </w:rPr>
        <w:t>u 2025. godini planirani su u iznosu od 122.110,00 eura što je u odnosu na rebalans za 2024. godinu smanjenje od 1,53%.</w:t>
      </w:r>
      <w:r w:rsidR="00572F94">
        <w:rPr>
          <w:rFonts w:ascii="Arial" w:hAnsi="Arial" w:cs="Arial"/>
          <w:sz w:val="24"/>
        </w:rPr>
        <w:t xml:space="preserve">  Od toga iz županijskog proračuna planirano je 50.400,00 eura, a iz vlastitih izvora planirano je 71.710,00 eura. </w:t>
      </w:r>
    </w:p>
    <w:p w:rsidR="00572F94" w:rsidRDefault="00572F94" w:rsidP="001D3F86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ab/>
      </w:r>
      <w:r w:rsidRPr="00572F94">
        <w:rPr>
          <w:rFonts w:ascii="Arial" w:hAnsi="Arial" w:cs="Arial"/>
          <w:b/>
          <w:i/>
          <w:sz w:val="24"/>
        </w:rPr>
        <w:t xml:space="preserve">Financijski rashodi </w:t>
      </w:r>
      <w:r>
        <w:rPr>
          <w:rFonts w:ascii="Arial" w:hAnsi="Arial" w:cs="Arial"/>
          <w:sz w:val="24"/>
        </w:rPr>
        <w:t>odnose se na rashode za financiranje bankarskih usluga i usluge platnog prometa. U planu za 2025. godinu, financijski rashodi planirani su u iznosu od 700,00 eura kao što je bilo planirano i u rebalansu za 2024. godinu.</w:t>
      </w:r>
    </w:p>
    <w:p w:rsidR="00572F94" w:rsidRDefault="00572F94" w:rsidP="001D3F86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572F94">
        <w:rPr>
          <w:rFonts w:ascii="Arial" w:hAnsi="Arial" w:cs="Arial"/>
          <w:b/>
          <w:i/>
          <w:sz w:val="24"/>
        </w:rPr>
        <w:t xml:space="preserve">Naknade građanima i kućanstvima na temelju osiguranja i druge naknade </w:t>
      </w:r>
      <w:r>
        <w:rPr>
          <w:rFonts w:ascii="Arial" w:hAnsi="Arial" w:cs="Arial"/>
          <w:sz w:val="24"/>
        </w:rPr>
        <w:t>odnose se na nabavu jednogodišnjih radnih udžbenika financiranih od strane Ministarstva znanosti, obrazovanja i mladih. U 2025. godini ovi rashodi planirani su u iznosu od 2.650,00 eura što je manje za 33,75%</w:t>
      </w:r>
      <w:r w:rsidR="00A05A20">
        <w:rPr>
          <w:rFonts w:ascii="Arial" w:hAnsi="Arial" w:cs="Arial"/>
          <w:sz w:val="24"/>
        </w:rPr>
        <w:t xml:space="preserve"> u odnosu na 2024. godinu. </w:t>
      </w:r>
    </w:p>
    <w:p w:rsidR="00A05A20" w:rsidRDefault="00A05A20" w:rsidP="001D3F86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A05A20">
        <w:rPr>
          <w:rFonts w:ascii="Arial" w:hAnsi="Arial" w:cs="Arial"/>
          <w:b/>
          <w:i/>
          <w:sz w:val="24"/>
        </w:rPr>
        <w:t xml:space="preserve">Ostali rashodi </w:t>
      </w:r>
      <w:r>
        <w:rPr>
          <w:rFonts w:ascii="Arial" w:hAnsi="Arial" w:cs="Arial"/>
          <w:sz w:val="24"/>
        </w:rPr>
        <w:t>odnose se na rashode za nabavu potrebnih higijenskih menstrualni</w:t>
      </w:r>
      <w:r w:rsidR="00730F23">
        <w:rPr>
          <w:rFonts w:ascii="Arial" w:hAnsi="Arial" w:cs="Arial"/>
          <w:sz w:val="24"/>
        </w:rPr>
        <w:t>h</w:t>
      </w:r>
      <w:r>
        <w:rPr>
          <w:rFonts w:ascii="Arial" w:hAnsi="Arial" w:cs="Arial"/>
          <w:sz w:val="24"/>
        </w:rPr>
        <w:t xml:space="preserve"> potrepština učenicama financiranih od strane Ministarstva. U 2025. godini ovi rashodi planirani su iznosu 150,00 eura. U odnosu na 2024. godinu ovi rashodi planirani su u istom iznosu. </w:t>
      </w:r>
    </w:p>
    <w:p w:rsidR="00A05A20" w:rsidRDefault="00A05A20" w:rsidP="001D3F86">
      <w:pPr>
        <w:spacing w:line="360" w:lineRule="auto"/>
        <w:jc w:val="both"/>
        <w:rPr>
          <w:rFonts w:ascii="Arial" w:hAnsi="Arial" w:cs="Arial"/>
          <w:sz w:val="24"/>
        </w:rPr>
      </w:pPr>
    </w:p>
    <w:p w:rsidR="00A05A20" w:rsidRPr="00A05A20" w:rsidRDefault="00A05A20" w:rsidP="00A05A20">
      <w:pPr>
        <w:pStyle w:val="Naslov2"/>
        <w:rPr>
          <w:b/>
          <w:i/>
        </w:rPr>
      </w:pPr>
      <w:bookmarkStart w:id="11" w:name="_Toc180679097"/>
      <w:r w:rsidRPr="00A05A20">
        <w:rPr>
          <w:b/>
          <w:i/>
        </w:rPr>
        <w:t>3.2 Rashodi za nabavu nefinancijske imovine</w:t>
      </w:r>
      <w:bookmarkEnd w:id="11"/>
    </w:p>
    <w:p w:rsidR="00A05A20" w:rsidRDefault="00A05A20" w:rsidP="001D3F86">
      <w:pPr>
        <w:spacing w:line="360" w:lineRule="auto"/>
        <w:jc w:val="both"/>
        <w:rPr>
          <w:rFonts w:ascii="Arial" w:hAnsi="Arial" w:cs="Arial"/>
          <w:sz w:val="24"/>
        </w:rPr>
      </w:pPr>
    </w:p>
    <w:p w:rsidR="00A05A20" w:rsidRPr="00A05A20" w:rsidRDefault="00A05A20" w:rsidP="001D3F86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Rashodi za nabavu nefinancijske imovine planirani su u 2025. godini u iznosu od 8.250,00 eura što je za 33,29% manje nego u 2024. godini. Planirani rashodi su manji, jer je u 2024. godini izvršena sanacija krova školske dvorane. </w:t>
      </w:r>
    </w:p>
    <w:p w:rsidR="002F5EE9" w:rsidRDefault="002F5EE9" w:rsidP="00B27CC6">
      <w:pPr>
        <w:rPr>
          <w:rFonts w:ascii="Arial" w:hAnsi="Arial" w:cs="Arial"/>
          <w:sz w:val="24"/>
        </w:rPr>
      </w:pPr>
    </w:p>
    <w:p w:rsidR="002F5EE9" w:rsidRPr="00B27CC6" w:rsidRDefault="002F5EE9" w:rsidP="00B27CC6">
      <w:pPr>
        <w:rPr>
          <w:rFonts w:ascii="Arial" w:hAnsi="Arial" w:cs="Arial"/>
          <w:sz w:val="24"/>
        </w:rPr>
      </w:pPr>
    </w:p>
    <w:p w:rsidR="00B27CC6" w:rsidRPr="00B27CC6" w:rsidRDefault="00B27CC6" w:rsidP="00B27CC6">
      <w:pPr>
        <w:rPr>
          <w:rFonts w:ascii="Arial" w:hAnsi="Arial" w:cs="Arial"/>
          <w:sz w:val="24"/>
        </w:rPr>
      </w:pPr>
    </w:p>
    <w:p w:rsidR="00B27CC6" w:rsidRPr="00B27CC6" w:rsidRDefault="00B27CC6" w:rsidP="00B27CC6">
      <w:pPr>
        <w:rPr>
          <w:rFonts w:ascii="Arial" w:hAnsi="Arial" w:cs="Arial"/>
          <w:sz w:val="24"/>
        </w:rPr>
      </w:pPr>
    </w:p>
    <w:p w:rsidR="00241FF3" w:rsidRPr="00B27CC6" w:rsidRDefault="00241FF3" w:rsidP="00B27CC6">
      <w:pPr>
        <w:rPr>
          <w:rFonts w:ascii="Arial" w:hAnsi="Arial" w:cs="Arial"/>
          <w:sz w:val="24"/>
        </w:rPr>
      </w:pPr>
    </w:p>
    <w:sectPr w:rsidR="00241FF3" w:rsidRPr="00B27CC6" w:rsidSect="00F75104">
      <w:footerReference w:type="default" r:id="rId15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CFE" w:rsidRDefault="00F55CFE" w:rsidP="00F75104">
      <w:pPr>
        <w:spacing w:after="0" w:line="240" w:lineRule="auto"/>
      </w:pPr>
      <w:r>
        <w:separator/>
      </w:r>
    </w:p>
  </w:endnote>
  <w:endnote w:type="continuationSeparator" w:id="0">
    <w:p w:rsidR="00F55CFE" w:rsidRDefault="00F55CFE" w:rsidP="00F75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9239095"/>
      <w:docPartObj>
        <w:docPartGallery w:val="Page Numbers (Bottom of Page)"/>
        <w:docPartUnique/>
      </w:docPartObj>
    </w:sdtPr>
    <w:sdtEndPr/>
    <w:sdtContent>
      <w:p w:rsidR="00F75104" w:rsidRDefault="00F75104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75104" w:rsidRDefault="00F7510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CFE" w:rsidRDefault="00F55CFE" w:rsidP="00F75104">
      <w:pPr>
        <w:spacing w:after="0" w:line="240" w:lineRule="auto"/>
      </w:pPr>
      <w:r>
        <w:separator/>
      </w:r>
    </w:p>
  </w:footnote>
  <w:footnote w:type="continuationSeparator" w:id="0">
    <w:p w:rsidR="00F55CFE" w:rsidRDefault="00F55CFE" w:rsidP="00F751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34938"/>
    <w:multiLevelType w:val="multilevel"/>
    <w:tmpl w:val="E1865A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688C05E1"/>
    <w:multiLevelType w:val="hybridMultilevel"/>
    <w:tmpl w:val="E17600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169"/>
    <w:rsid w:val="00037169"/>
    <w:rsid w:val="00075F1F"/>
    <w:rsid w:val="00191239"/>
    <w:rsid w:val="001D3F86"/>
    <w:rsid w:val="001F64CC"/>
    <w:rsid w:val="00241FF3"/>
    <w:rsid w:val="002B16CF"/>
    <w:rsid w:val="002C5246"/>
    <w:rsid w:val="002F5EE9"/>
    <w:rsid w:val="004072BB"/>
    <w:rsid w:val="00492786"/>
    <w:rsid w:val="004A2A9A"/>
    <w:rsid w:val="00572F94"/>
    <w:rsid w:val="005F12AD"/>
    <w:rsid w:val="0062298D"/>
    <w:rsid w:val="00640EF1"/>
    <w:rsid w:val="00643A96"/>
    <w:rsid w:val="00730F23"/>
    <w:rsid w:val="00874A4E"/>
    <w:rsid w:val="00945985"/>
    <w:rsid w:val="00A05A20"/>
    <w:rsid w:val="00A2588C"/>
    <w:rsid w:val="00AC04F3"/>
    <w:rsid w:val="00AF0A7C"/>
    <w:rsid w:val="00B27CC6"/>
    <w:rsid w:val="00C40195"/>
    <w:rsid w:val="00C4127B"/>
    <w:rsid w:val="00CC357C"/>
    <w:rsid w:val="00D43D5A"/>
    <w:rsid w:val="00DC35A1"/>
    <w:rsid w:val="00E55453"/>
    <w:rsid w:val="00F55CFE"/>
    <w:rsid w:val="00F7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A671C-1DDD-4DF2-B11C-0EFD5C9B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37169"/>
    <w:pPr>
      <w:keepNext/>
      <w:keepLines/>
      <w:spacing w:before="240" w:after="0"/>
      <w:outlineLvl w:val="0"/>
    </w:pPr>
    <w:rPr>
      <w:rFonts w:ascii="Arial" w:eastAsiaTheme="majorEastAsia" w:hAnsi="Arial" w:cstheme="majorBidi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27CC6"/>
    <w:pPr>
      <w:keepNext/>
      <w:keepLines/>
      <w:spacing w:before="40" w:after="0"/>
      <w:outlineLvl w:val="1"/>
    </w:pPr>
    <w:rPr>
      <w:rFonts w:ascii="Arial" w:eastAsiaTheme="majorEastAsia" w:hAnsi="Arial" w:cstheme="majorBidi"/>
      <w:sz w:val="28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37169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037169"/>
    <w:rPr>
      <w:rFonts w:ascii="Arial" w:eastAsiaTheme="majorEastAsia" w:hAnsi="Arial" w:cstheme="majorBidi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B27CC6"/>
    <w:rPr>
      <w:rFonts w:ascii="Arial" w:eastAsiaTheme="majorEastAsia" w:hAnsi="Arial" w:cstheme="majorBidi"/>
      <w:sz w:val="28"/>
      <w:szCs w:val="26"/>
    </w:rPr>
  </w:style>
  <w:style w:type="paragraph" w:styleId="Zaglavlje">
    <w:name w:val="header"/>
    <w:basedOn w:val="Normal"/>
    <w:link w:val="ZaglavljeChar"/>
    <w:uiPriority w:val="99"/>
    <w:unhideWhenUsed/>
    <w:rsid w:val="00F75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75104"/>
  </w:style>
  <w:style w:type="paragraph" w:styleId="Podnoje">
    <w:name w:val="footer"/>
    <w:basedOn w:val="Normal"/>
    <w:link w:val="PodnojeChar"/>
    <w:uiPriority w:val="99"/>
    <w:unhideWhenUsed/>
    <w:rsid w:val="00F75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75104"/>
  </w:style>
  <w:style w:type="paragraph" w:styleId="TOCNaslov">
    <w:name w:val="TOC Heading"/>
    <w:basedOn w:val="Naslov1"/>
    <w:next w:val="Normal"/>
    <w:uiPriority w:val="39"/>
    <w:unhideWhenUsed/>
    <w:qFormat/>
    <w:rsid w:val="00F75104"/>
    <w:pPr>
      <w:outlineLvl w:val="9"/>
    </w:pPr>
    <w:rPr>
      <w:rFonts w:asciiTheme="majorHAnsi" w:hAnsiTheme="majorHAnsi"/>
      <w:color w:val="2F5496" w:themeColor="accent1" w:themeShade="BF"/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F75104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F75104"/>
    <w:pPr>
      <w:spacing w:after="100"/>
      <w:ind w:left="220"/>
    </w:pPr>
  </w:style>
  <w:style w:type="character" w:styleId="Hiperveza">
    <w:name w:val="Hyperlink"/>
    <w:basedOn w:val="Zadanifontodlomka"/>
    <w:uiPriority w:val="99"/>
    <w:unhideWhenUsed/>
    <w:rsid w:val="00F75104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92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27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 b="1" i="1"/>
              <a:t>Grafikon 1</a:t>
            </a:r>
            <a:r>
              <a:rPr lang="hr-HR"/>
              <a:t>. Prihodi i primici</a:t>
            </a:r>
            <a:r>
              <a:rPr lang="hr-HR" baseline="0"/>
              <a:t> financijskog plana škole za 2025. godinu </a:t>
            </a:r>
            <a:endParaRPr lang="hr-HR"/>
          </a:p>
        </c:rich>
      </c:tx>
      <c:layout>
        <c:manualLayout>
          <c:xMode val="edge"/>
          <c:yMode val="edge"/>
          <c:x val="0.1413060760931289"/>
          <c:y val="0.8567419917243885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8515750267162093"/>
          <c:y val="0.26371876203884737"/>
          <c:w val="0.72735677205596316"/>
          <c:h val="0.64407256152717063"/>
        </c:manualLayout>
      </c:layout>
      <c:pie3DChart>
        <c:varyColors val="1"/>
        <c:ser>
          <c:idx val="0"/>
          <c:order val="0"/>
          <c:dPt>
            <c:idx val="0"/>
            <c:bubble3D val="0"/>
            <c:explosion val="4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13B-4F2F-982C-41C2291637DA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213B-4F2F-982C-41C2291637DA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213B-4F2F-982C-41C2291637DA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213B-4F2F-982C-41C2291637DA}"/>
              </c:ext>
            </c:extLst>
          </c:dPt>
          <c:dPt>
            <c:idx val="4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213B-4F2F-982C-41C2291637DA}"/>
              </c:ext>
            </c:extLst>
          </c:dPt>
          <c:dLbls>
            <c:dLbl>
              <c:idx val="0"/>
              <c:layout>
                <c:manualLayout>
                  <c:x val="2.0442930153321975E-2"/>
                  <c:y val="-0.39318266990207629"/>
                </c:manualLayout>
              </c:layout>
              <c:tx>
                <c:rich>
                  <a:bodyPr/>
                  <a:lstStyle/>
                  <a:p>
                    <a:fld id="{71255AD6-C97F-4B0F-A415-0FED5FFC816C}" type="CATEGORYNAME">
                      <a:rPr lang="en-US"/>
                      <a:pPr/>
                      <a:t>[NAZIV KATEGORIJE]</a:t>
                    </a:fld>
                    <a:r>
                      <a:rPr lang="en-US" baseline="0"/>
                      <a:t>
87,37%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213B-4F2F-982C-41C2291637DA}"/>
                </c:ext>
              </c:extLst>
            </c:dLbl>
            <c:dLbl>
              <c:idx val="1"/>
              <c:layout>
                <c:manualLayout>
                  <c:x val="-0.11130039750141965"/>
                  <c:y val="0.18390802301871312"/>
                </c:manualLayout>
              </c:layout>
              <c:tx>
                <c:rich>
                  <a:bodyPr/>
                  <a:lstStyle/>
                  <a:p>
                    <a:fld id="{89769B95-3026-40F3-8E41-7E78DD6F640A}" type="CATEGORYNAME">
                      <a:rPr lang="en-US"/>
                      <a:pPr/>
                      <a:t>[NAZIV KATEGORIJE]</a:t>
                    </a:fld>
                    <a:r>
                      <a:rPr lang="en-US" baseline="0"/>
                      <a:t>
0,02%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213B-4F2F-982C-41C2291637DA}"/>
                </c:ext>
              </c:extLst>
            </c:dLbl>
            <c:dLbl>
              <c:idx val="2"/>
              <c:layout>
                <c:manualLayout>
                  <c:x val="-0.12720045428733676"/>
                  <c:y val="-0.10463732344168161"/>
                </c:manualLayout>
              </c:layout>
              <c:tx>
                <c:rich>
                  <a:bodyPr/>
                  <a:lstStyle/>
                  <a:p>
                    <a:fld id="{4BA62C50-080D-48D7-86DA-E94E710EAFEC}" type="CATEGORYNAME">
                      <a:rPr lang="en-US"/>
                      <a:pPr/>
                      <a:t>[NAZIV KATEGORIJE]</a:t>
                    </a:fld>
                    <a:r>
                      <a:rPr lang="en-US" baseline="0"/>
                      <a:t>
3,20%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213B-4F2F-982C-41C2291637DA}"/>
                </c:ext>
              </c:extLst>
            </c:dLbl>
            <c:dLbl>
              <c:idx val="3"/>
              <c:layout>
                <c:manualLayout>
                  <c:x val="0.14310051107325378"/>
                  <c:y val="-6.9758215627787737E-2"/>
                </c:manualLayout>
              </c:layout>
              <c:tx>
                <c:rich>
                  <a:bodyPr/>
                  <a:lstStyle/>
                  <a:p>
                    <a:fld id="{87226046-2D18-4CBE-8077-1469BE1630D2}" type="CATEGORYNAME">
                      <a:rPr lang="en-US"/>
                      <a:pPr/>
                      <a:t>[NAZIV KATEGORIJE]</a:t>
                    </a:fld>
                    <a:r>
                      <a:rPr lang="en-US" baseline="0"/>
                      <a:t>
0,49%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213B-4F2F-982C-41C2291637DA}"/>
                </c:ext>
              </c:extLst>
            </c:dLbl>
            <c:dLbl>
              <c:idx val="4"/>
              <c:layout>
                <c:manualLayout>
                  <c:x val="0.44974446337308355"/>
                  <c:y val="3.1708279830812607E-3"/>
                </c:manualLayout>
              </c:layout>
              <c:tx>
                <c:rich>
                  <a:bodyPr/>
                  <a:lstStyle/>
                  <a:p>
                    <a:fld id="{FE476E20-F08D-4F86-B76C-5223B8147970}" type="CATEGORYNAME">
                      <a:rPr lang="en-US"/>
                      <a:pPr/>
                      <a:t>[NAZIV KATEGORIJE]</a:t>
                    </a:fld>
                    <a:r>
                      <a:rPr lang="en-US" baseline="0"/>
                      <a:t>
8,92%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213B-4F2F-982C-41C2291637DA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(List1!$A$4,List1!$A$5,List1!$A$6,List1!$A$7,List1!$A$8)</c:f>
              <c:strCache>
                <c:ptCount val="5"/>
                <c:pt idx="0">
                  <c:v>63 Pomoći iz inozemstva i od subjekata unutar općeg proračuna</c:v>
                </c:pt>
                <c:pt idx="1">
                  <c:v>64 Prihodi od imovine</c:v>
                </c:pt>
                <c:pt idx="2">
                  <c:v>65 Prihodi od upravnih i administrativnih pristojbi, pristojbi po posebnim propisima i naknada</c:v>
                </c:pt>
                <c:pt idx="3">
                  <c:v>66 Prihodi od prodaje proizvoda i robe te pruženih usluga i prihodi od donacija te povrati po protestiranim jamstvima</c:v>
                </c:pt>
                <c:pt idx="4">
                  <c:v>67 Prihodi iz nadležnog proračuna i od HZZO-a temeljem ugovornih obveza</c:v>
                </c:pt>
              </c:strCache>
            </c:strRef>
          </c:cat>
          <c:val>
            <c:numRef>
              <c:f>(List1!$C$4,List1!$C$5,List1!$C$6,List1!$C$7,List1!$C$8)</c:f>
              <c:numCache>
                <c:formatCode>General</c:formatCode>
                <c:ptCount val="5"/>
                <c:pt idx="0" formatCode="#,##0.00">
                  <c:v>655700</c:v>
                </c:pt>
                <c:pt idx="1">
                  <c:v>100</c:v>
                </c:pt>
                <c:pt idx="2" formatCode="#,##0.00">
                  <c:v>24000</c:v>
                </c:pt>
                <c:pt idx="3" formatCode="#,##0.00">
                  <c:v>3700</c:v>
                </c:pt>
                <c:pt idx="4" formatCode="#,##0.00">
                  <c:v>66980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213B-4F2F-982C-41C2291637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Grafikon 2. Prihodi i primici po izvorima financiranja 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List2!$B$9</c:f>
              <c:strCache>
                <c:ptCount val="1"/>
                <c:pt idx="0">
                  <c:v>Plan 2024.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cat>
            <c:strRef>
              <c:f>List2!$A$10:$A$15</c:f>
              <c:strCache>
                <c:ptCount val="6"/>
                <c:pt idx="0">
                  <c:v>Izvor: 11 Opći prihodi i primici</c:v>
                </c:pt>
                <c:pt idx="1">
                  <c:v>Izvor: 31 Vlastiti prihodi</c:v>
                </c:pt>
                <c:pt idx="2">
                  <c:v>Izvor: 43 Ostali prihodi za posebne namjene</c:v>
                </c:pt>
                <c:pt idx="3">
                  <c:v>Izvor: 44 Decentralizirana sredstva</c:v>
                </c:pt>
                <c:pt idx="4">
                  <c:v>Izvor: 52 Ostale pomoći</c:v>
                </c:pt>
                <c:pt idx="5">
                  <c:v>Izvor: 61 Donacije</c:v>
                </c:pt>
              </c:strCache>
            </c:strRef>
          </c:cat>
          <c:val>
            <c:numRef>
              <c:f>List2!$B$10:$B$15</c:f>
              <c:numCache>
                <c:formatCode>0.00%</c:formatCode>
                <c:ptCount val="6"/>
                <c:pt idx="0">
                  <c:v>1.6696243448961725E-2</c:v>
                </c:pt>
                <c:pt idx="1">
                  <c:v>2.9046567179868794E-3</c:v>
                </c:pt>
                <c:pt idx="2">
                  <c:v>3.4579246642700942E-2</c:v>
                </c:pt>
                <c:pt idx="3">
                  <c:v>7.6290117112992523E-2</c:v>
                </c:pt>
                <c:pt idx="4">
                  <c:v>0.86676339634594179</c:v>
                </c:pt>
                <c:pt idx="5">
                  <c:v>2.7663397314160753E-3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91-4BC2-B3A3-5AAD85A56443}"/>
            </c:ext>
          </c:extLst>
        </c:ser>
        <c:ser>
          <c:idx val="1"/>
          <c:order val="1"/>
          <c:tx>
            <c:strRef>
              <c:f>List2!$C$9</c:f>
              <c:strCache>
                <c:ptCount val="1"/>
                <c:pt idx="0">
                  <c:v>Plan 2025.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cat>
            <c:strRef>
              <c:f>List2!$A$10:$A$15</c:f>
              <c:strCache>
                <c:ptCount val="6"/>
                <c:pt idx="0">
                  <c:v>Izvor: 11 Opći prihodi i primici</c:v>
                </c:pt>
                <c:pt idx="1">
                  <c:v>Izvor: 31 Vlastiti prihodi</c:v>
                </c:pt>
                <c:pt idx="2">
                  <c:v>Izvor: 43 Ostali prihodi za posebne namjene</c:v>
                </c:pt>
                <c:pt idx="3">
                  <c:v>Izvor: 44 Decentralizirana sredstva</c:v>
                </c:pt>
                <c:pt idx="4">
                  <c:v>Izvor: 52 Ostale pomoći</c:v>
                </c:pt>
                <c:pt idx="5">
                  <c:v>Izvor: 61 Donacije</c:v>
                </c:pt>
              </c:strCache>
            </c:strRef>
          </c:cat>
          <c:val>
            <c:numRef>
              <c:f>List2!$C$10:$C$15</c:f>
              <c:numCache>
                <c:formatCode>0.00%</c:formatCode>
                <c:ptCount val="6"/>
                <c:pt idx="0">
                  <c:v>2.2092527449099245E-2</c:v>
                </c:pt>
                <c:pt idx="1">
                  <c:v>2.7982091461464663E-3</c:v>
                </c:pt>
                <c:pt idx="2">
                  <c:v>3.1979533098816758E-2</c:v>
                </c:pt>
                <c:pt idx="3">
                  <c:v>6.7157019507515195E-2</c:v>
                </c:pt>
                <c:pt idx="4">
                  <c:v>0.87370749387058944</c:v>
                </c:pt>
                <c:pt idx="5">
                  <c:v>2.2652169278328535E-3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491-4BC2-B3A3-5AAD85A56443}"/>
            </c:ext>
          </c:extLst>
        </c:ser>
        <c:ser>
          <c:idx val="2"/>
          <c:order val="2"/>
          <c:tx>
            <c:strRef>
              <c:f>List2!$D$9</c:f>
              <c:strCache>
                <c:ptCount val="1"/>
                <c:pt idx="0">
                  <c:v>Projekcija 2026.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cat>
            <c:strRef>
              <c:f>List2!$A$10:$A$15</c:f>
              <c:strCache>
                <c:ptCount val="6"/>
                <c:pt idx="0">
                  <c:v>Izvor: 11 Opći prihodi i primici</c:v>
                </c:pt>
                <c:pt idx="1">
                  <c:v>Izvor: 31 Vlastiti prihodi</c:v>
                </c:pt>
                <c:pt idx="2">
                  <c:v>Izvor: 43 Ostali prihodi za posebne namjene</c:v>
                </c:pt>
                <c:pt idx="3">
                  <c:v>Izvor: 44 Decentralizirana sredstva</c:v>
                </c:pt>
                <c:pt idx="4">
                  <c:v>Izvor: 52 Ostale pomoći</c:v>
                </c:pt>
                <c:pt idx="5">
                  <c:v>Izvor: 61 Donacije</c:v>
                </c:pt>
              </c:strCache>
            </c:strRef>
          </c:cat>
          <c:val>
            <c:numRef>
              <c:f>List2!$D$10:$D$15</c:f>
              <c:numCache>
                <c:formatCode>0.00%</c:formatCode>
                <c:ptCount val="6"/>
                <c:pt idx="0">
                  <c:v>2.2092527449099245E-2</c:v>
                </c:pt>
                <c:pt idx="1">
                  <c:v>2.7982091461464663E-3</c:v>
                </c:pt>
                <c:pt idx="2">
                  <c:v>3.1979533098816758E-2</c:v>
                </c:pt>
                <c:pt idx="3">
                  <c:v>6.7157019507515195E-2</c:v>
                </c:pt>
                <c:pt idx="4">
                  <c:v>0.87370749387058944</c:v>
                </c:pt>
                <c:pt idx="5">
                  <c:v>2.2652169278328535E-3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491-4BC2-B3A3-5AAD85A56443}"/>
            </c:ext>
          </c:extLst>
        </c:ser>
        <c:ser>
          <c:idx val="3"/>
          <c:order val="3"/>
          <c:tx>
            <c:strRef>
              <c:f>List2!$E$9</c:f>
              <c:strCache>
                <c:ptCount val="1"/>
                <c:pt idx="0">
                  <c:v>Projekcija 2027.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cat>
            <c:strRef>
              <c:f>List2!$A$10:$A$15</c:f>
              <c:strCache>
                <c:ptCount val="6"/>
                <c:pt idx="0">
                  <c:v>Izvor: 11 Opći prihodi i primici</c:v>
                </c:pt>
                <c:pt idx="1">
                  <c:v>Izvor: 31 Vlastiti prihodi</c:v>
                </c:pt>
                <c:pt idx="2">
                  <c:v>Izvor: 43 Ostali prihodi za posebne namjene</c:v>
                </c:pt>
                <c:pt idx="3">
                  <c:v>Izvor: 44 Decentralizirana sredstva</c:v>
                </c:pt>
                <c:pt idx="4">
                  <c:v>Izvor: 52 Ostale pomoći</c:v>
                </c:pt>
                <c:pt idx="5">
                  <c:v>Izvor: 61 Donacije</c:v>
                </c:pt>
              </c:strCache>
            </c:strRef>
          </c:cat>
          <c:val>
            <c:numRef>
              <c:f>List2!$E$10:$E$15</c:f>
              <c:numCache>
                <c:formatCode>0.00%</c:formatCode>
                <c:ptCount val="6"/>
                <c:pt idx="0">
                  <c:v>2.2092527449099245E-2</c:v>
                </c:pt>
                <c:pt idx="1">
                  <c:v>2.7982091461464663E-3</c:v>
                </c:pt>
                <c:pt idx="2">
                  <c:v>3.1979533098816758E-2</c:v>
                </c:pt>
                <c:pt idx="3">
                  <c:v>6.7157019507515195E-2</c:v>
                </c:pt>
                <c:pt idx="4">
                  <c:v>0.87370749387058944</c:v>
                </c:pt>
                <c:pt idx="5">
                  <c:v>2.2652169278328535E-3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491-4BC2-B3A3-5AAD85A564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72779168"/>
        <c:axId val="1394108960"/>
        <c:axId val="0"/>
      </c:bar3DChart>
      <c:catAx>
        <c:axId val="15727791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394108960"/>
        <c:crosses val="autoZero"/>
        <c:auto val="1"/>
        <c:lblAlgn val="ctr"/>
        <c:lblOffset val="100"/>
        <c:noMultiLvlLbl val="0"/>
      </c:catAx>
      <c:valAx>
        <c:axId val="13941089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572779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89440069991251"/>
          <c:y val="4.3323281398335849E-2"/>
          <c:w val="0.8278893263342082"/>
          <c:h val="3.6453776611256925E-6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List2!$B$9</c:f>
              <c:strCache>
                <c:ptCount val="1"/>
                <c:pt idx="0">
                  <c:v>Plan 2024.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cat>
            <c:strRef>
              <c:f>List2!$A$10:$A$15</c:f>
              <c:strCache>
                <c:ptCount val="6"/>
                <c:pt idx="0">
                  <c:v>Izvor: 11 Opći prihodi i primici</c:v>
                </c:pt>
                <c:pt idx="1">
                  <c:v>Izvor: 31 Vlastiti prihodi</c:v>
                </c:pt>
                <c:pt idx="2">
                  <c:v>Izvor: 43 Ostali prihodi za posebne namjene</c:v>
                </c:pt>
                <c:pt idx="3">
                  <c:v>Izvor: 44 Decentralizirana sredstva</c:v>
                </c:pt>
                <c:pt idx="4">
                  <c:v>Izvor: 52 Ostale pomoći</c:v>
                </c:pt>
                <c:pt idx="5">
                  <c:v>Izvor: 61 Donacije</c:v>
                </c:pt>
              </c:strCache>
            </c:strRef>
          </c:cat>
          <c:val>
            <c:numRef>
              <c:f>List2!$B$10:$B$15</c:f>
              <c:numCache>
                <c:formatCode>0.00%</c:formatCode>
                <c:ptCount val="6"/>
                <c:pt idx="0">
                  <c:v>1.6696243448961725E-2</c:v>
                </c:pt>
                <c:pt idx="1">
                  <c:v>2.9046567179868794E-3</c:v>
                </c:pt>
                <c:pt idx="2">
                  <c:v>3.4579246642700942E-2</c:v>
                </c:pt>
                <c:pt idx="3">
                  <c:v>7.6290117112992523E-2</c:v>
                </c:pt>
                <c:pt idx="4">
                  <c:v>0.86676339634594179</c:v>
                </c:pt>
                <c:pt idx="5">
                  <c:v>2.7663397314160753E-3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C5E-4A7B-88E0-9A4B74E286E2}"/>
            </c:ext>
          </c:extLst>
        </c:ser>
        <c:ser>
          <c:idx val="1"/>
          <c:order val="1"/>
          <c:tx>
            <c:strRef>
              <c:f>List2!$C$9</c:f>
              <c:strCache>
                <c:ptCount val="1"/>
                <c:pt idx="0">
                  <c:v>Plan 2025.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cat>
            <c:strRef>
              <c:f>List2!$A$10:$A$15</c:f>
              <c:strCache>
                <c:ptCount val="6"/>
                <c:pt idx="0">
                  <c:v>Izvor: 11 Opći prihodi i primici</c:v>
                </c:pt>
                <c:pt idx="1">
                  <c:v>Izvor: 31 Vlastiti prihodi</c:v>
                </c:pt>
                <c:pt idx="2">
                  <c:v>Izvor: 43 Ostali prihodi za posebne namjene</c:v>
                </c:pt>
                <c:pt idx="3">
                  <c:v>Izvor: 44 Decentralizirana sredstva</c:v>
                </c:pt>
                <c:pt idx="4">
                  <c:v>Izvor: 52 Ostale pomoći</c:v>
                </c:pt>
                <c:pt idx="5">
                  <c:v>Izvor: 61 Donacije</c:v>
                </c:pt>
              </c:strCache>
            </c:strRef>
          </c:cat>
          <c:val>
            <c:numRef>
              <c:f>List2!$C$10:$C$15</c:f>
              <c:numCache>
                <c:formatCode>0.00%</c:formatCode>
                <c:ptCount val="6"/>
                <c:pt idx="0">
                  <c:v>2.2092527449099245E-2</c:v>
                </c:pt>
                <c:pt idx="1">
                  <c:v>2.7982091461464663E-3</c:v>
                </c:pt>
                <c:pt idx="2">
                  <c:v>3.1979533098816758E-2</c:v>
                </c:pt>
                <c:pt idx="3">
                  <c:v>6.7157019507515195E-2</c:v>
                </c:pt>
                <c:pt idx="4">
                  <c:v>0.87370749387058944</c:v>
                </c:pt>
                <c:pt idx="5">
                  <c:v>2.2652169278328535E-3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C5E-4A7B-88E0-9A4B74E286E2}"/>
            </c:ext>
          </c:extLst>
        </c:ser>
        <c:ser>
          <c:idx val="2"/>
          <c:order val="2"/>
          <c:tx>
            <c:strRef>
              <c:f>List2!$D$9</c:f>
              <c:strCache>
                <c:ptCount val="1"/>
                <c:pt idx="0">
                  <c:v>Projekcija 2026.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cat>
            <c:strRef>
              <c:f>List2!$A$10:$A$15</c:f>
              <c:strCache>
                <c:ptCount val="6"/>
                <c:pt idx="0">
                  <c:v>Izvor: 11 Opći prihodi i primici</c:v>
                </c:pt>
                <c:pt idx="1">
                  <c:v>Izvor: 31 Vlastiti prihodi</c:v>
                </c:pt>
                <c:pt idx="2">
                  <c:v>Izvor: 43 Ostali prihodi za posebne namjene</c:v>
                </c:pt>
                <c:pt idx="3">
                  <c:v>Izvor: 44 Decentralizirana sredstva</c:v>
                </c:pt>
                <c:pt idx="4">
                  <c:v>Izvor: 52 Ostale pomoći</c:v>
                </c:pt>
                <c:pt idx="5">
                  <c:v>Izvor: 61 Donacije</c:v>
                </c:pt>
              </c:strCache>
            </c:strRef>
          </c:cat>
          <c:val>
            <c:numRef>
              <c:f>List2!$D$10:$D$15</c:f>
              <c:numCache>
                <c:formatCode>0.00%</c:formatCode>
                <c:ptCount val="6"/>
                <c:pt idx="0">
                  <c:v>2.2092527449099245E-2</c:v>
                </c:pt>
                <c:pt idx="1">
                  <c:v>2.7982091461464663E-3</c:v>
                </c:pt>
                <c:pt idx="2">
                  <c:v>3.1979533098816758E-2</c:v>
                </c:pt>
                <c:pt idx="3">
                  <c:v>6.7157019507515195E-2</c:v>
                </c:pt>
                <c:pt idx="4">
                  <c:v>0.87370749387058944</c:v>
                </c:pt>
                <c:pt idx="5">
                  <c:v>2.2652169278328535E-3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C5E-4A7B-88E0-9A4B74E286E2}"/>
            </c:ext>
          </c:extLst>
        </c:ser>
        <c:ser>
          <c:idx val="3"/>
          <c:order val="3"/>
          <c:tx>
            <c:strRef>
              <c:f>List2!$E$9</c:f>
              <c:strCache>
                <c:ptCount val="1"/>
                <c:pt idx="0">
                  <c:v>Projekcija 2027.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cat>
            <c:strRef>
              <c:f>List2!$A$10:$A$15</c:f>
              <c:strCache>
                <c:ptCount val="6"/>
                <c:pt idx="0">
                  <c:v>Izvor: 11 Opći prihodi i primici</c:v>
                </c:pt>
                <c:pt idx="1">
                  <c:v>Izvor: 31 Vlastiti prihodi</c:v>
                </c:pt>
                <c:pt idx="2">
                  <c:v>Izvor: 43 Ostali prihodi za posebne namjene</c:v>
                </c:pt>
                <c:pt idx="3">
                  <c:v>Izvor: 44 Decentralizirana sredstva</c:v>
                </c:pt>
                <c:pt idx="4">
                  <c:v>Izvor: 52 Ostale pomoći</c:v>
                </c:pt>
                <c:pt idx="5">
                  <c:v>Izvor: 61 Donacije</c:v>
                </c:pt>
              </c:strCache>
            </c:strRef>
          </c:cat>
          <c:val>
            <c:numRef>
              <c:f>List2!$E$10:$E$15</c:f>
              <c:numCache>
                <c:formatCode>0.00%</c:formatCode>
                <c:ptCount val="6"/>
                <c:pt idx="0">
                  <c:v>2.2092527449099245E-2</c:v>
                </c:pt>
                <c:pt idx="1">
                  <c:v>2.7982091461464663E-3</c:v>
                </c:pt>
                <c:pt idx="2">
                  <c:v>3.1979533098816758E-2</c:v>
                </c:pt>
                <c:pt idx="3">
                  <c:v>6.7157019507515195E-2</c:v>
                </c:pt>
                <c:pt idx="4">
                  <c:v>0.87370749387058944</c:v>
                </c:pt>
                <c:pt idx="5">
                  <c:v>2.2652169278328535E-3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C5E-4A7B-88E0-9A4B74E286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72779168"/>
        <c:axId val="1394108960"/>
        <c:axId val="0"/>
      </c:bar3DChart>
      <c:catAx>
        <c:axId val="157277916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394108960"/>
        <c:crosses val="autoZero"/>
        <c:auto val="1"/>
        <c:lblAlgn val="ctr"/>
        <c:lblOffset val="100"/>
        <c:noMultiLvlLbl val="0"/>
      </c:catAx>
      <c:valAx>
        <c:axId val="1394108960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crossAx val="157277916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 b="1" i="1"/>
              <a:t>Grafikon 3</a:t>
            </a:r>
            <a:r>
              <a:rPr lang="hr-HR"/>
              <a:t>. Rashodi i izdaci financijskog plana škole za 2025. godinu prema ekonomskoj klasifikaciji</a:t>
            </a:r>
            <a:r>
              <a:rPr lang="hr-HR" baseline="0"/>
              <a:t> </a:t>
            </a:r>
          </a:p>
          <a:p>
            <a:pPr>
              <a:defRPr/>
            </a:pPr>
            <a:endParaRPr lang="hr-HR"/>
          </a:p>
        </c:rich>
      </c:tx>
      <c:layout>
        <c:manualLayout>
          <c:xMode val="edge"/>
          <c:yMode val="edge"/>
          <c:x val="0.11429199009698256"/>
          <c:y val="0.8138274481859879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632974069730646"/>
          <c:y val="0.21022028778964327"/>
          <c:w val="0.73552018763612004"/>
          <c:h val="0.63681422373562802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A14-43AE-8ED9-C093F1946628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A14-43AE-8ED9-C093F1946628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7A14-43AE-8ED9-C093F1946628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7A14-43AE-8ED9-C093F1946628}"/>
              </c:ext>
            </c:extLst>
          </c:dPt>
          <c:dPt>
            <c:idx val="4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7A14-43AE-8ED9-C093F1946628}"/>
              </c:ext>
            </c:extLst>
          </c:dPt>
          <c:dPt>
            <c:idx val="5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7A14-43AE-8ED9-C093F1946628}"/>
              </c:ext>
            </c:extLst>
          </c:dPt>
          <c:dPt>
            <c:idx val="6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7A14-43AE-8ED9-C093F1946628}"/>
              </c:ext>
            </c:extLst>
          </c:dPt>
          <c:dLbls>
            <c:dLbl>
              <c:idx val="0"/>
              <c:layout>
                <c:manualLayout>
                  <c:x val="0.10874704491725751"/>
                  <c:y val="-0.27137030465269735"/>
                </c:manualLayout>
              </c:layout>
              <c:tx>
                <c:rich>
                  <a:bodyPr/>
                  <a:lstStyle/>
                  <a:p>
                    <a:fld id="{DB1CB2C3-78C6-4D65-B930-3B22399DF5A0}" type="CATEGORYNAME">
                      <a:rPr lang="en-US"/>
                      <a:pPr/>
                      <a:t>[NAZIV KATEGORIJE]</a:t>
                    </a:fld>
                    <a:r>
                      <a:rPr lang="en-US" baseline="0"/>
                      <a:t>
82,16%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7A14-43AE-8ED9-C093F1946628}"/>
                </c:ext>
              </c:extLst>
            </c:dLbl>
            <c:dLbl>
              <c:idx val="1"/>
              <c:layout>
                <c:manualLayout>
                  <c:x val="-0.1702127659574468"/>
                  <c:y val="0.15196737060551049"/>
                </c:manualLayout>
              </c:layout>
              <c:tx>
                <c:rich>
                  <a:bodyPr/>
                  <a:lstStyle/>
                  <a:p>
                    <a:fld id="{84A8B3E4-5B67-4902-BD56-C78E277BB091}" type="CATEGORYNAME">
                      <a:rPr lang="en-US"/>
                      <a:pPr/>
                      <a:t>[NAZIV KATEGORIJE]</a:t>
                    </a:fld>
                    <a:r>
                      <a:rPr lang="en-US" baseline="0"/>
                      <a:t>
16,27%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7A14-43AE-8ED9-C093F1946628}"/>
                </c:ext>
              </c:extLst>
            </c:dLbl>
            <c:dLbl>
              <c:idx val="2"/>
              <c:layout>
                <c:manualLayout>
                  <c:x val="-5.2009456264775412E-2"/>
                  <c:y val="-5.4274060930539457E-2"/>
                </c:manualLayout>
              </c:layout>
              <c:tx>
                <c:rich>
                  <a:bodyPr/>
                  <a:lstStyle/>
                  <a:p>
                    <a:fld id="{110329A0-DBBD-441E-A7C1-F3B495A1FD3C}" type="CATEGORYNAME">
                      <a:rPr lang="en-US"/>
                      <a:pPr/>
                      <a:t>[NAZIV KATEGORIJE]</a:t>
                    </a:fld>
                    <a:r>
                      <a:rPr lang="en-US" baseline="0"/>
                      <a:t>
0,09%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7A14-43AE-8ED9-C093F1946628}"/>
                </c:ext>
              </c:extLst>
            </c:dLbl>
            <c:dLbl>
              <c:idx val="3"/>
              <c:layout>
                <c:manualLayout>
                  <c:x val="-0.2860520094562648"/>
                  <c:y val="2.5327895100918416E-2"/>
                </c:manualLayout>
              </c:layout>
              <c:tx>
                <c:rich>
                  <a:bodyPr/>
                  <a:lstStyle/>
                  <a:p>
                    <a:fld id="{7CC2DB3A-3C24-4EB2-8148-D381401597BE}" type="CATEGORYNAME">
                      <a:rPr lang="en-US"/>
                      <a:pPr/>
                      <a:t>[NAZIV KATEGORIJE]</a:t>
                    </a:fld>
                    <a:r>
                      <a:rPr lang="en-US" baseline="0"/>
                      <a:t>
0,35%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7A14-43AE-8ED9-C093F1946628}"/>
                </c:ext>
              </c:extLst>
            </c:dLbl>
            <c:dLbl>
              <c:idx val="4"/>
              <c:layout>
                <c:manualLayout>
                  <c:x val="9.9290780141843879E-2"/>
                  <c:y val="-0.11216639258978155"/>
                </c:manualLayout>
              </c:layout>
              <c:tx>
                <c:rich>
                  <a:bodyPr/>
                  <a:lstStyle/>
                  <a:p>
                    <a:fld id="{0C3B3BC4-3E29-4B49-9C8D-06510BA72E22}" type="CATEGORYNAME">
                      <a:rPr lang="en-US"/>
                      <a:pPr/>
                      <a:t>[NAZIV KATEGORIJE]</a:t>
                    </a:fld>
                    <a:r>
                      <a:rPr lang="en-US" baseline="0"/>
                      <a:t>
0,02%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7A14-43AE-8ED9-C093F1946628}"/>
                </c:ext>
              </c:extLst>
            </c:dLbl>
            <c:dLbl>
              <c:idx val="5"/>
              <c:layout>
                <c:manualLayout>
                  <c:x val="0.25295508274231671"/>
                  <c:y val="-4.7037519473134198E-2"/>
                </c:manualLayout>
              </c:layout>
              <c:tx>
                <c:rich>
                  <a:bodyPr/>
                  <a:lstStyle/>
                  <a:p>
                    <a:fld id="{B2FF1C40-EA5F-46EC-B225-A1A6DEBEE2BE}" type="CATEGORYNAME">
                      <a:rPr lang="en-US"/>
                      <a:pPr/>
                      <a:t>[NAZIV KATEGORIJE]</a:t>
                    </a:fld>
                    <a:r>
                      <a:rPr lang="en-US" baseline="0"/>
                      <a:t>
1,09%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7A14-43AE-8ED9-C093F1946628}"/>
                </c:ext>
              </c:extLst>
            </c:dLbl>
            <c:dLbl>
              <c:idx val="6"/>
              <c:layout>
                <c:manualLayout>
                  <c:x val="0.37825059101654845"/>
                  <c:y val="9.4075038946268397E-2"/>
                </c:manualLayout>
              </c:layout>
              <c:tx>
                <c:rich>
                  <a:bodyPr/>
                  <a:lstStyle/>
                  <a:p>
                    <a:fld id="{48F76A7C-6BFC-493E-B408-0C4DF17542BE}" type="CATEGORYNAME">
                      <a:rPr lang="en-US"/>
                      <a:pPr/>
                      <a:t>[NAZIV KATEGORIJE]</a:t>
                    </a:fld>
                    <a:r>
                      <a:rPr lang="en-US" baseline="0"/>
                      <a:t>
0,02%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7A14-43AE-8ED9-C093F1946628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(List3!$A$3,List3!$A$4,List3!$A$5,List3!$A$6,List3!$A$7,List3!$A$9,List3!$A$10)</c:f>
              <c:strCache>
                <c:ptCount val="7"/>
                <c:pt idx="0">
                  <c:v>31 Rashodi za zaposlene</c:v>
                </c:pt>
                <c:pt idx="1">
                  <c:v>32 Materijalni rashodi</c:v>
                </c:pt>
                <c:pt idx="2">
                  <c:v>34 Financijski rashodi</c:v>
                </c:pt>
                <c:pt idx="3">
                  <c:v>37 Naknade građanima i kućanstvima na temelju osiguranja i druge naknade</c:v>
                </c:pt>
                <c:pt idx="4">
                  <c:v>38 Ostali rashodi</c:v>
                </c:pt>
                <c:pt idx="5">
                  <c:v>42 Rashodi za nabavu proizvedene dugotrajne imovine</c:v>
                </c:pt>
                <c:pt idx="6">
                  <c:v>45 Rashodi za dodatna ulaganja na nefinancijskoj imovini</c:v>
                </c:pt>
              </c:strCache>
            </c:strRef>
          </c:cat>
          <c:val>
            <c:numRef>
              <c:f>(List3!$C$3,List3!$C$4,List3!$C$5,List3!$C$6,List3!$C$7,List3!$C$9,List3!$C$10)</c:f>
              <c:numCache>
                <c:formatCode>#,##0.00</c:formatCode>
                <c:ptCount val="7"/>
                <c:pt idx="0">
                  <c:v>616620</c:v>
                </c:pt>
                <c:pt idx="1">
                  <c:v>122110</c:v>
                </c:pt>
                <c:pt idx="2" formatCode="General">
                  <c:v>700</c:v>
                </c:pt>
                <c:pt idx="3">
                  <c:v>2650</c:v>
                </c:pt>
                <c:pt idx="4" formatCode="General">
                  <c:v>150</c:v>
                </c:pt>
                <c:pt idx="5">
                  <c:v>8150</c:v>
                </c:pt>
                <c:pt idx="6" formatCode="General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7A14-43AE-8ED9-C093F19466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DF17F-15C2-4ED8-922D-6DDBF0289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1609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2024-10-24T14:30:00Z</cp:lastPrinted>
  <dcterms:created xsi:type="dcterms:W3CDTF">2024-12-13T08:53:00Z</dcterms:created>
  <dcterms:modified xsi:type="dcterms:W3CDTF">2024-12-13T08:53:00Z</dcterms:modified>
</cp:coreProperties>
</file>