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6A" w:rsidRDefault="00ED566A" w:rsidP="00ED566A">
      <w:pPr>
        <w:spacing w:line="360" w:lineRule="auto"/>
        <w:ind w:firstLine="708"/>
        <w:rPr>
          <w:sz w:val="22"/>
        </w:rPr>
      </w:pPr>
      <w:bookmarkStart w:id="0" w:name="_GoBack"/>
      <w:bookmarkEnd w:id="0"/>
    </w:p>
    <w:p w:rsidR="000F6497" w:rsidRPr="0047168F" w:rsidRDefault="000F6497" w:rsidP="000F6497">
      <w:pPr>
        <w:spacing w:line="360" w:lineRule="auto"/>
        <w:jc w:val="center"/>
        <w:rPr>
          <w:b/>
        </w:rPr>
      </w:pPr>
      <w:r w:rsidRPr="0047168F">
        <w:rPr>
          <w:b/>
        </w:rPr>
        <w:t>REPUBLIKA HRVATSKA</w:t>
      </w:r>
    </w:p>
    <w:p w:rsidR="000F6497" w:rsidRPr="0047168F" w:rsidRDefault="000F6497" w:rsidP="000F6497">
      <w:pPr>
        <w:spacing w:line="360" w:lineRule="auto"/>
        <w:jc w:val="center"/>
        <w:rPr>
          <w:b/>
        </w:rPr>
      </w:pPr>
      <w:r w:rsidRPr="0047168F">
        <w:t>VARAŽDINSKA ŽUPANIJA</w:t>
      </w:r>
    </w:p>
    <w:p w:rsidR="000F6497" w:rsidRDefault="000F6497" w:rsidP="000F6497">
      <w:pPr>
        <w:tabs>
          <w:tab w:val="left" w:pos="5220"/>
        </w:tabs>
        <w:spacing w:line="360" w:lineRule="auto"/>
        <w:jc w:val="center"/>
      </w:pPr>
      <w:r>
        <w:t>OSNOVNA ŠKOLA BELETINEC</w:t>
      </w:r>
    </w:p>
    <w:p w:rsidR="00ED566A" w:rsidRDefault="00ED566A" w:rsidP="000F6497">
      <w:pPr>
        <w:spacing w:line="360" w:lineRule="auto"/>
        <w:ind w:firstLine="708"/>
        <w:jc w:val="center"/>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0F6497" w:rsidRPr="000F6497" w:rsidRDefault="000F6497" w:rsidP="000F6497">
      <w:pPr>
        <w:spacing w:line="360" w:lineRule="auto"/>
        <w:jc w:val="center"/>
        <w:rPr>
          <w:b/>
          <w:sz w:val="36"/>
        </w:rPr>
      </w:pPr>
      <w:r w:rsidRPr="000F6497">
        <w:rPr>
          <w:b/>
          <w:sz w:val="36"/>
        </w:rPr>
        <w:t>BILJEŠKE UZ FINANCIJSKE IZVJEŠTAJE OSNOVNE ŠKOLE BELETINEC ZA 2024. GODINE</w:t>
      </w:r>
    </w:p>
    <w:p w:rsidR="00ED566A" w:rsidRPr="000F6497" w:rsidRDefault="00ED566A" w:rsidP="00ED566A">
      <w:pPr>
        <w:spacing w:line="360" w:lineRule="auto"/>
        <w:ind w:firstLine="708"/>
        <w:rPr>
          <w:sz w:val="3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0F6497">
      <w:pPr>
        <w:spacing w:line="360" w:lineRule="auto"/>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ED566A" w:rsidRDefault="00ED566A" w:rsidP="00ED566A">
      <w:pPr>
        <w:spacing w:line="360" w:lineRule="auto"/>
        <w:ind w:firstLine="708"/>
        <w:rPr>
          <w:sz w:val="22"/>
        </w:rPr>
      </w:pPr>
    </w:p>
    <w:p w:rsidR="000F6497" w:rsidRDefault="000F6497" w:rsidP="00ED566A">
      <w:pPr>
        <w:spacing w:line="360" w:lineRule="auto"/>
        <w:ind w:firstLine="708"/>
        <w:rPr>
          <w:sz w:val="22"/>
        </w:rPr>
      </w:pPr>
    </w:p>
    <w:p w:rsidR="000F6497" w:rsidRDefault="000F6497" w:rsidP="00ED566A">
      <w:pPr>
        <w:spacing w:line="360" w:lineRule="auto"/>
        <w:ind w:firstLine="708"/>
        <w:rPr>
          <w:sz w:val="22"/>
        </w:rPr>
      </w:pPr>
    </w:p>
    <w:p w:rsidR="000F6497" w:rsidRDefault="000F6497" w:rsidP="00ED566A">
      <w:pPr>
        <w:spacing w:line="360" w:lineRule="auto"/>
        <w:ind w:firstLine="708"/>
        <w:rPr>
          <w:sz w:val="22"/>
        </w:rPr>
      </w:pPr>
    </w:p>
    <w:p w:rsidR="000F6497" w:rsidRDefault="000F6497" w:rsidP="00ED566A">
      <w:pPr>
        <w:spacing w:line="360" w:lineRule="auto"/>
        <w:ind w:firstLine="708"/>
        <w:rPr>
          <w:sz w:val="22"/>
        </w:rPr>
      </w:pPr>
    </w:p>
    <w:p w:rsidR="000F6497" w:rsidRDefault="000F6497" w:rsidP="00ED566A">
      <w:pPr>
        <w:spacing w:line="360" w:lineRule="auto"/>
        <w:ind w:firstLine="708"/>
        <w:rPr>
          <w:sz w:val="22"/>
        </w:rPr>
      </w:pPr>
    </w:p>
    <w:p w:rsidR="00ED566A" w:rsidRDefault="00ED566A" w:rsidP="00ED566A">
      <w:pPr>
        <w:spacing w:line="360" w:lineRule="auto"/>
        <w:ind w:firstLine="708"/>
        <w:rPr>
          <w:sz w:val="22"/>
        </w:rPr>
      </w:pPr>
    </w:p>
    <w:p w:rsidR="00ED566A" w:rsidRDefault="000F6497" w:rsidP="000F6497">
      <w:pPr>
        <w:spacing w:line="360" w:lineRule="auto"/>
        <w:ind w:firstLine="708"/>
        <w:jc w:val="center"/>
        <w:rPr>
          <w:sz w:val="22"/>
        </w:rPr>
      </w:pPr>
      <w:r>
        <w:rPr>
          <w:sz w:val="22"/>
        </w:rPr>
        <w:t>Beletinec, siječanj 2025.</w:t>
      </w:r>
    </w:p>
    <w:p w:rsidR="000F6497" w:rsidRDefault="000F6497" w:rsidP="000F6497">
      <w:pPr>
        <w:spacing w:line="360" w:lineRule="auto"/>
        <w:rPr>
          <w:sz w:val="22"/>
        </w:rPr>
      </w:pPr>
    </w:p>
    <w:p w:rsidR="00ED566A" w:rsidRDefault="00ED566A" w:rsidP="00ED566A">
      <w:pPr>
        <w:spacing w:line="360" w:lineRule="auto"/>
        <w:ind w:firstLine="708"/>
        <w:rPr>
          <w:sz w:val="22"/>
        </w:rPr>
      </w:pPr>
    </w:p>
    <w:p w:rsidR="007E2468" w:rsidRPr="00ED566A" w:rsidRDefault="007E2468" w:rsidP="00ED566A">
      <w:pPr>
        <w:spacing w:line="360" w:lineRule="auto"/>
        <w:ind w:firstLine="708"/>
        <w:rPr>
          <w:rFonts w:ascii="Arial" w:hAnsi="Arial"/>
          <w:sz w:val="20"/>
        </w:rPr>
      </w:pPr>
      <w:r w:rsidRPr="00303BF5">
        <w:rPr>
          <w:sz w:val="22"/>
        </w:rPr>
        <w:t xml:space="preserve">   </w:t>
      </w:r>
      <w:r w:rsidRPr="005648FA">
        <w:rPr>
          <w:rFonts w:ascii="Arial" w:hAnsi="Arial"/>
          <w:sz w:val="20"/>
        </w:rPr>
        <w:object w:dxaOrig="7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7" o:title=""/>
          </v:shape>
          <o:OLEObject Type="Embed" ProgID="Word.Picture.8" ShapeID="_x0000_i1025" DrawAspect="Content" ObjectID="_1799750565" r:id="rId8"/>
        </w:object>
      </w:r>
    </w:p>
    <w:p w:rsidR="007E2468" w:rsidRPr="0047168F" w:rsidRDefault="007E2468" w:rsidP="00ED566A">
      <w:pPr>
        <w:spacing w:line="360" w:lineRule="auto"/>
        <w:rPr>
          <w:b/>
        </w:rPr>
      </w:pPr>
      <w:r w:rsidRPr="0047168F">
        <w:rPr>
          <w:b/>
        </w:rPr>
        <w:t>REPUBLIKA HRVATSKA</w:t>
      </w:r>
    </w:p>
    <w:p w:rsidR="007E2468" w:rsidRPr="0047168F" w:rsidRDefault="007E2468" w:rsidP="00ED566A">
      <w:pPr>
        <w:spacing w:line="360" w:lineRule="auto"/>
        <w:rPr>
          <w:b/>
        </w:rPr>
      </w:pPr>
      <w:r w:rsidRPr="0047168F">
        <w:t>VARAŽDINSKA ŽUPANIJA</w:t>
      </w:r>
    </w:p>
    <w:p w:rsidR="007E2468" w:rsidRDefault="007E2468" w:rsidP="00ED566A">
      <w:pPr>
        <w:tabs>
          <w:tab w:val="left" w:pos="5220"/>
        </w:tabs>
        <w:spacing w:line="360" w:lineRule="auto"/>
      </w:pPr>
      <w:r>
        <w:t>OSNOVNA ŠKOLA BELETINEC</w:t>
      </w:r>
    </w:p>
    <w:p w:rsidR="00ED566A" w:rsidRPr="0047168F" w:rsidRDefault="00ED566A" w:rsidP="00ED566A">
      <w:pPr>
        <w:tabs>
          <w:tab w:val="left" w:pos="5220"/>
        </w:tabs>
        <w:spacing w:line="360" w:lineRule="auto"/>
      </w:pPr>
      <w:r>
        <w:t>Stjepana Radića 4, Beletinec</w:t>
      </w:r>
    </w:p>
    <w:p w:rsidR="007E2468" w:rsidRPr="00F248D8" w:rsidRDefault="007E2468" w:rsidP="00ED566A">
      <w:pPr>
        <w:tabs>
          <w:tab w:val="left" w:pos="5220"/>
        </w:tabs>
        <w:spacing w:line="360" w:lineRule="auto"/>
      </w:pPr>
      <w:r>
        <w:t>KLASA</w:t>
      </w:r>
      <w:r w:rsidRPr="00F248D8">
        <w:t xml:space="preserve">: </w:t>
      </w:r>
      <w:r w:rsidR="00443A4E">
        <w:t>400-04/</w:t>
      </w:r>
      <w:r w:rsidR="005D54F4">
        <w:t>25-01/1</w:t>
      </w:r>
    </w:p>
    <w:p w:rsidR="007E2468" w:rsidRDefault="007E2468" w:rsidP="00ED566A">
      <w:pPr>
        <w:tabs>
          <w:tab w:val="left" w:pos="5220"/>
        </w:tabs>
        <w:spacing w:line="360" w:lineRule="auto"/>
      </w:pPr>
      <w:r w:rsidRPr="00F248D8">
        <w:t xml:space="preserve">URBROJ: </w:t>
      </w:r>
      <w:r w:rsidR="005D54F4">
        <w:t>2186-113-01-25-2</w:t>
      </w:r>
    </w:p>
    <w:p w:rsidR="00ED566A" w:rsidRDefault="00ED566A" w:rsidP="00ED566A">
      <w:pPr>
        <w:tabs>
          <w:tab w:val="left" w:pos="5220"/>
        </w:tabs>
        <w:spacing w:line="360" w:lineRule="auto"/>
      </w:pPr>
    </w:p>
    <w:p w:rsidR="00ED566A" w:rsidRPr="00ED566A" w:rsidRDefault="00ED566A" w:rsidP="00ED566A">
      <w:pPr>
        <w:spacing w:line="360" w:lineRule="auto"/>
      </w:pPr>
      <w:r w:rsidRPr="00ED566A">
        <w:t>Šifra županije: 05- Varaždinska</w:t>
      </w:r>
    </w:p>
    <w:p w:rsidR="00ED566A" w:rsidRPr="00ED566A" w:rsidRDefault="00ED566A" w:rsidP="00ED566A">
      <w:pPr>
        <w:spacing w:line="360" w:lineRule="auto"/>
      </w:pPr>
      <w:r w:rsidRPr="00ED566A">
        <w:t xml:space="preserve">Šifra općine: 438 – Sveti Ilija </w:t>
      </w:r>
    </w:p>
    <w:p w:rsidR="00ED566A" w:rsidRPr="00ED566A" w:rsidRDefault="00ED566A" w:rsidP="00ED566A">
      <w:pPr>
        <w:spacing w:line="360" w:lineRule="auto"/>
      </w:pPr>
      <w:r w:rsidRPr="00ED566A">
        <w:t>Matični broj: 03005844</w:t>
      </w:r>
    </w:p>
    <w:p w:rsidR="00ED566A" w:rsidRPr="00ED566A" w:rsidRDefault="00ED566A" w:rsidP="00ED566A">
      <w:pPr>
        <w:spacing w:line="360" w:lineRule="auto"/>
      </w:pPr>
      <w:r w:rsidRPr="00ED566A">
        <w:t>OIB: 60698725264</w:t>
      </w:r>
    </w:p>
    <w:p w:rsidR="00ED566A" w:rsidRPr="00ED566A" w:rsidRDefault="00ED566A" w:rsidP="00ED566A">
      <w:pPr>
        <w:spacing w:line="360" w:lineRule="auto"/>
      </w:pPr>
      <w:r w:rsidRPr="00ED566A">
        <w:t xml:space="preserve">Šifra djelatnosti :8520 – osnovno obrazovanje </w:t>
      </w:r>
    </w:p>
    <w:p w:rsidR="00ED566A" w:rsidRPr="00ED566A" w:rsidRDefault="00ED566A" w:rsidP="00ED566A">
      <w:pPr>
        <w:spacing w:line="360" w:lineRule="auto"/>
      </w:pPr>
      <w:r w:rsidRPr="00ED566A">
        <w:t>Redni broj RKP:</w:t>
      </w:r>
      <w:r>
        <w:t xml:space="preserve"> </w:t>
      </w:r>
      <w:r w:rsidRPr="00ED566A">
        <w:t>14023</w:t>
      </w:r>
    </w:p>
    <w:p w:rsidR="00ED566A" w:rsidRPr="00ED566A" w:rsidRDefault="00ED566A" w:rsidP="00ED566A">
      <w:pPr>
        <w:spacing w:line="360" w:lineRule="auto"/>
      </w:pPr>
      <w:r w:rsidRPr="00ED566A">
        <w:t>Razina:31</w:t>
      </w:r>
    </w:p>
    <w:p w:rsidR="00ED566A" w:rsidRDefault="00ED566A" w:rsidP="00ED566A">
      <w:pPr>
        <w:spacing w:line="360" w:lineRule="auto"/>
      </w:pPr>
      <w:r w:rsidRPr="00ED566A">
        <w:t>ŠIFRA ŠKOLE:05-227-002</w:t>
      </w:r>
    </w:p>
    <w:p w:rsidR="00ED566A" w:rsidRDefault="00ED566A" w:rsidP="00ED566A">
      <w:pPr>
        <w:spacing w:line="360" w:lineRule="auto"/>
      </w:pPr>
    </w:p>
    <w:p w:rsidR="00ED566A" w:rsidRDefault="00ED566A" w:rsidP="00ED566A">
      <w:pPr>
        <w:tabs>
          <w:tab w:val="left" w:pos="5220"/>
        </w:tabs>
        <w:spacing w:line="360" w:lineRule="auto"/>
      </w:pPr>
      <w:r>
        <w:t>Beletinec</w:t>
      </w:r>
      <w:r w:rsidRPr="00F248D8">
        <w:t xml:space="preserve">, </w:t>
      </w:r>
      <w:r>
        <w:t>30.</w:t>
      </w:r>
      <w:r w:rsidRPr="0056209D">
        <w:t xml:space="preserve"> </w:t>
      </w:r>
      <w:r>
        <w:t>siječanj</w:t>
      </w:r>
      <w:r w:rsidRPr="0056209D">
        <w:t xml:space="preserve"> 20</w:t>
      </w:r>
      <w:r>
        <w:t>25</w:t>
      </w:r>
      <w:r w:rsidRPr="0056209D">
        <w:t>.</w:t>
      </w:r>
      <w:r>
        <w:t xml:space="preserve"> godine</w:t>
      </w:r>
    </w:p>
    <w:p w:rsidR="00ED566A" w:rsidRDefault="00ED566A" w:rsidP="00ED566A">
      <w:pPr>
        <w:tabs>
          <w:tab w:val="left" w:pos="5220"/>
        </w:tabs>
        <w:spacing w:line="360" w:lineRule="auto"/>
      </w:pPr>
    </w:p>
    <w:p w:rsidR="00ED566A" w:rsidRDefault="00ED566A" w:rsidP="00ED566A">
      <w:pPr>
        <w:spacing w:line="360" w:lineRule="auto"/>
      </w:pPr>
    </w:p>
    <w:p w:rsidR="00ED566A" w:rsidRDefault="00ED566A" w:rsidP="00ED566A">
      <w:pPr>
        <w:spacing w:line="360" w:lineRule="auto"/>
      </w:pPr>
    </w:p>
    <w:p w:rsidR="007E2468" w:rsidRPr="00ED566A" w:rsidRDefault="00ED566A" w:rsidP="00ED566A">
      <w:pPr>
        <w:spacing w:line="360" w:lineRule="auto"/>
        <w:jc w:val="center"/>
        <w:rPr>
          <w:b/>
        </w:rPr>
      </w:pPr>
      <w:r w:rsidRPr="00ED566A">
        <w:rPr>
          <w:b/>
        </w:rPr>
        <w:t>BILJEŠKE UZ FINANCIJSKE IZVJEŠTAJE ZA RAZDOBLJE OD 1. SIJEČNJA DO 31. PROSINCA 2024. GODINE</w:t>
      </w:r>
    </w:p>
    <w:p w:rsidR="00ED566A" w:rsidRDefault="00ED566A" w:rsidP="00ED566A">
      <w:pPr>
        <w:tabs>
          <w:tab w:val="left" w:pos="5220"/>
        </w:tabs>
        <w:spacing w:line="360" w:lineRule="auto"/>
      </w:pPr>
    </w:p>
    <w:p w:rsidR="007E2468" w:rsidRDefault="007E2468" w:rsidP="00ED566A">
      <w:pPr>
        <w:tabs>
          <w:tab w:val="left" w:pos="5220"/>
        </w:tabs>
        <w:spacing w:line="360" w:lineRule="auto"/>
      </w:pPr>
    </w:p>
    <w:p w:rsidR="007E2468" w:rsidRPr="00ED566A" w:rsidRDefault="007E2468" w:rsidP="00ED566A">
      <w:pPr>
        <w:pStyle w:val="Odlomakpopisa"/>
        <w:numPr>
          <w:ilvl w:val="0"/>
          <w:numId w:val="1"/>
        </w:numPr>
        <w:tabs>
          <w:tab w:val="left" w:pos="5220"/>
        </w:tabs>
        <w:spacing w:line="360" w:lineRule="auto"/>
        <w:rPr>
          <w:b/>
        </w:rPr>
      </w:pPr>
      <w:r w:rsidRPr="00ED566A">
        <w:rPr>
          <w:b/>
        </w:rPr>
        <w:t xml:space="preserve">BILJEŠKE UZ BILANCU </w:t>
      </w:r>
    </w:p>
    <w:p w:rsidR="007E2468" w:rsidRDefault="007E2468" w:rsidP="00ED566A">
      <w:pPr>
        <w:pStyle w:val="Odlomakpopisa"/>
        <w:tabs>
          <w:tab w:val="left" w:pos="5220"/>
        </w:tabs>
        <w:spacing w:line="360" w:lineRule="auto"/>
      </w:pPr>
    </w:p>
    <w:p w:rsidR="007E2468" w:rsidRDefault="007E2468" w:rsidP="00ED566A">
      <w:pPr>
        <w:pStyle w:val="Odlomakpopisa"/>
        <w:tabs>
          <w:tab w:val="left" w:pos="5220"/>
        </w:tabs>
        <w:spacing w:line="360" w:lineRule="auto"/>
      </w:pPr>
    </w:p>
    <w:p w:rsidR="007E2468" w:rsidRDefault="00807A80" w:rsidP="00ED566A">
      <w:pPr>
        <w:pStyle w:val="Odlomakpopisa"/>
        <w:tabs>
          <w:tab w:val="left" w:pos="5220"/>
        </w:tabs>
        <w:spacing w:line="360" w:lineRule="auto"/>
        <w:jc w:val="both"/>
      </w:pPr>
      <w:r>
        <w:t xml:space="preserve">Ukupna imovina Osnovne škole Beletinec – šifra B001 na dan </w:t>
      </w:r>
      <w:r w:rsidR="002F0832">
        <w:t xml:space="preserve">1. siječnja 2024. godine iznosi 800.764,47 eura. U 2024. godini imovina se povećala za 10.041,69 eura te na kraju izvještajnog razdoblja na dan 31. prosinca 2024. godine iznosi 810.806,16 eura </w:t>
      </w:r>
      <w:r w:rsidR="002F0832">
        <w:lastRenderedPageBreak/>
        <w:t xml:space="preserve">što je povećanje od 1,3%. Povećanje </w:t>
      </w:r>
      <w:r w:rsidR="00504551">
        <w:t xml:space="preserve">se odnosi na povećanje nefinancijske </w:t>
      </w:r>
      <w:r w:rsidR="002F0832">
        <w:t xml:space="preserve">imovine </w:t>
      </w:r>
      <w:r w:rsidR="00504551">
        <w:t>i to</w:t>
      </w:r>
      <w:r w:rsidR="002F0832">
        <w:t xml:space="preserve"> na nabavu novog garderobnog ormara za potrebe kuhar</w:t>
      </w:r>
      <w:r w:rsidR="00EC44B5">
        <w:t>ice</w:t>
      </w:r>
      <w:r w:rsidR="00504551">
        <w:t>,</w:t>
      </w:r>
      <w:r w:rsidR="00EC44B5">
        <w:t xml:space="preserve"> edukacijskih robota za informatičku učionicu za potrebe učenja programiranja</w:t>
      </w:r>
      <w:r w:rsidR="00504551">
        <w:t>, kosilice te na preuređenje učionice nižih razreda i sanaciju krovišta škole</w:t>
      </w:r>
      <w:r w:rsidR="00EC44B5">
        <w:t xml:space="preserve">. Također, u 2024. godine na temelju odluke od 1. siječnja 2024. godine škola je uknjižila računalnu opremu dobivenu od CARNET-a. Stanje novca u banci i blagajni s danom 31. prosinca iznosi 11.187,62 eura, što je za 22,3% više nego na dan 1. siječnja 2024. godine. </w:t>
      </w:r>
      <w:r w:rsidR="00504551">
        <w:t xml:space="preserve">Veća promjena je bila i na šifri 129 na potraživanjima za naknade koje se refundiraju gdje se stanje na dan 31. prosinca 2024. u odnosu na 1. siječnja 2024. </w:t>
      </w:r>
      <w:r w:rsidR="00504532">
        <w:t>smanjilo</w:t>
      </w:r>
      <w:r w:rsidR="00504551">
        <w:t xml:space="preserve"> za 75,3% zbog refundacije bolovanja </w:t>
      </w:r>
      <w:r w:rsidR="00FF5B34">
        <w:t>za</w:t>
      </w:r>
      <w:r w:rsidR="00504551">
        <w:t xml:space="preserve"> 2023. i 2024. godin</w:t>
      </w:r>
      <w:r w:rsidR="00FF5B34">
        <w:t>u</w:t>
      </w:r>
      <w:r w:rsidR="00504551">
        <w:t xml:space="preserve">. </w:t>
      </w:r>
    </w:p>
    <w:p w:rsidR="007B17BC" w:rsidRDefault="007B17BC" w:rsidP="00ED566A">
      <w:pPr>
        <w:pStyle w:val="Odlomakpopisa"/>
        <w:tabs>
          <w:tab w:val="left" w:pos="5220"/>
        </w:tabs>
        <w:spacing w:line="360" w:lineRule="auto"/>
        <w:jc w:val="both"/>
      </w:pPr>
      <w:r>
        <w:t>Potraživanja za prihode poslovanja šifra 16 na dan 31. prosinca 2024. godine iznose 1.733,95 eura što je uvećanje za 28,1% u odnosu na stanje 1. siječnja 2024. godine, a odnosi se na potraživanja od roditelja za financiranje produženog boravka. Do povećanja je došlo zbog većeg broja učenika upisanih u produženi boravak početkom nove školske godine 2024./25.</w:t>
      </w:r>
    </w:p>
    <w:p w:rsidR="00504532" w:rsidRDefault="00504532" w:rsidP="00ED566A">
      <w:pPr>
        <w:pStyle w:val="Odlomakpopisa"/>
        <w:tabs>
          <w:tab w:val="left" w:pos="5220"/>
        </w:tabs>
        <w:spacing w:line="360" w:lineRule="auto"/>
        <w:jc w:val="both"/>
      </w:pPr>
    </w:p>
    <w:p w:rsidR="00504532" w:rsidRDefault="00504532" w:rsidP="00ED566A">
      <w:pPr>
        <w:pStyle w:val="Odlomakpopisa"/>
        <w:tabs>
          <w:tab w:val="left" w:pos="5220"/>
        </w:tabs>
        <w:spacing w:line="360" w:lineRule="auto"/>
        <w:jc w:val="both"/>
      </w:pPr>
      <w:r>
        <w:t>Ukupan rezultat na šifri 922 uključuje preneseni rezultat pre</w:t>
      </w:r>
      <w:r w:rsidR="00F73E1F">
        <w:t>thodnog razdoblja i ostvareni rezultat tekuće godine te na dan 31. prosinca 2024. godine rezultat iznosi 8.370,84 eura. Provedena je obvezna korekcija za kapitalne prihode prema čl. 82. Pravilnika o proračunskom računovodstvu, koji su iskorišteni za nabavu dugotrajne nefinancijske imovine i to u ukupnom iznosu od 14.260,13 eura</w:t>
      </w:r>
      <w:r w:rsidR="007B17BC">
        <w:t xml:space="preserve"> ( 67121 Prihodi iz nadležnog proračuna za financiranje rashoda za nabavu nefinancijske imovine: 12.129,45 eur</w:t>
      </w:r>
      <w:r w:rsidR="00E85DD0">
        <w:t>a</w:t>
      </w:r>
      <w:r w:rsidR="007B17BC">
        <w:t xml:space="preserve">  + 63622 Kapitalne pomoći proračunskim korisnicima iz proračuna koji im nije nadležan: 2.130,68 eura (udžbenici)).  </w:t>
      </w:r>
    </w:p>
    <w:p w:rsidR="00F73E1F" w:rsidRDefault="008E2368" w:rsidP="00ED566A">
      <w:pPr>
        <w:pStyle w:val="Odlomakpopisa"/>
        <w:tabs>
          <w:tab w:val="left" w:pos="5220"/>
        </w:tabs>
        <w:spacing w:line="360" w:lineRule="auto"/>
        <w:jc w:val="both"/>
      </w:pPr>
      <w:r>
        <w:t>Rezultat na dan 31. prosinca 2024. godini i obvezna korekcija prikazani su tablicama ispod.</w:t>
      </w:r>
    </w:p>
    <w:p w:rsidR="008E2368" w:rsidRDefault="008E2368"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ED566A" w:rsidRDefault="00ED566A" w:rsidP="00ED566A">
      <w:pPr>
        <w:pStyle w:val="Odlomakpopisa"/>
        <w:tabs>
          <w:tab w:val="left" w:pos="5220"/>
        </w:tabs>
        <w:spacing w:line="360" w:lineRule="auto"/>
      </w:pPr>
    </w:p>
    <w:p w:rsidR="008E2368" w:rsidRDefault="008E2368" w:rsidP="00ED566A">
      <w:pPr>
        <w:pStyle w:val="Odlomakpopisa"/>
        <w:tabs>
          <w:tab w:val="left" w:pos="5220"/>
        </w:tabs>
        <w:spacing w:line="360" w:lineRule="auto"/>
      </w:pPr>
    </w:p>
    <w:p w:rsidR="008E2368" w:rsidRPr="008E2368" w:rsidRDefault="008E2368" w:rsidP="00ED566A">
      <w:pPr>
        <w:pStyle w:val="Odlomakpopisa"/>
        <w:tabs>
          <w:tab w:val="left" w:pos="5220"/>
        </w:tabs>
        <w:spacing w:line="360" w:lineRule="auto"/>
        <w:rPr>
          <w:b/>
        </w:rPr>
      </w:pPr>
      <w:r w:rsidRPr="008E2368">
        <w:rPr>
          <w:b/>
        </w:rPr>
        <w:t>Tablica 1. Višak/manjak prihoda na dan 31.prosinca 2024. godine</w:t>
      </w:r>
    </w:p>
    <w:p w:rsidR="008E2368" w:rsidRDefault="008E2368" w:rsidP="00ED566A">
      <w:pPr>
        <w:pStyle w:val="Odlomakpopisa"/>
        <w:tabs>
          <w:tab w:val="left" w:pos="5220"/>
        </w:tabs>
        <w:spacing w:line="360" w:lineRule="auto"/>
      </w:pPr>
    </w:p>
    <w:tbl>
      <w:tblPr>
        <w:tblStyle w:val="Reetkatablice"/>
        <w:tblW w:w="0" w:type="auto"/>
        <w:tblInd w:w="720" w:type="dxa"/>
        <w:tblLook w:val="04A0" w:firstRow="1" w:lastRow="0" w:firstColumn="1" w:lastColumn="0" w:noHBand="0" w:noVBand="1"/>
      </w:tblPr>
      <w:tblGrid>
        <w:gridCol w:w="2085"/>
        <w:gridCol w:w="3853"/>
        <w:gridCol w:w="1984"/>
      </w:tblGrid>
      <w:tr w:rsidR="00F73E1F" w:rsidTr="008E2368">
        <w:trPr>
          <w:trHeight w:val="703"/>
        </w:trPr>
        <w:tc>
          <w:tcPr>
            <w:tcW w:w="2085" w:type="dxa"/>
          </w:tcPr>
          <w:p w:rsidR="00F73E1F" w:rsidRDefault="00F73E1F" w:rsidP="00ED566A">
            <w:pPr>
              <w:pStyle w:val="Odlomakpopisa"/>
              <w:tabs>
                <w:tab w:val="left" w:pos="5220"/>
              </w:tabs>
              <w:spacing w:line="360" w:lineRule="auto"/>
              <w:ind w:left="0"/>
            </w:pPr>
          </w:p>
        </w:tc>
        <w:tc>
          <w:tcPr>
            <w:tcW w:w="3853" w:type="dxa"/>
          </w:tcPr>
          <w:p w:rsidR="00F73E1F" w:rsidRPr="008E2368" w:rsidRDefault="00F73E1F" w:rsidP="00ED566A">
            <w:pPr>
              <w:pStyle w:val="Odlomakpopisa"/>
              <w:tabs>
                <w:tab w:val="left" w:pos="5220"/>
              </w:tabs>
              <w:spacing w:line="360" w:lineRule="auto"/>
              <w:ind w:left="0"/>
              <w:rPr>
                <w:b/>
              </w:rPr>
            </w:pPr>
            <w:r w:rsidRPr="008E2368">
              <w:rPr>
                <w:b/>
              </w:rPr>
              <w:t xml:space="preserve">Pozicije na dan 31. prosinca 2024. </w:t>
            </w:r>
          </w:p>
        </w:tc>
        <w:tc>
          <w:tcPr>
            <w:tcW w:w="1984" w:type="dxa"/>
          </w:tcPr>
          <w:p w:rsidR="00F73E1F" w:rsidRPr="008E2368" w:rsidRDefault="00F73E1F" w:rsidP="00ED566A">
            <w:pPr>
              <w:pStyle w:val="Odlomakpopisa"/>
              <w:tabs>
                <w:tab w:val="left" w:pos="5220"/>
              </w:tabs>
              <w:spacing w:line="360" w:lineRule="auto"/>
              <w:ind w:left="0"/>
              <w:rPr>
                <w:b/>
              </w:rPr>
            </w:pPr>
            <w:r w:rsidRPr="008E2368">
              <w:rPr>
                <w:b/>
              </w:rPr>
              <w:t xml:space="preserve">Bilanca (u </w:t>
            </w:r>
            <w:proofErr w:type="spellStart"/>
            <w:r w:rsidRPr="008E2368">
              <w:rPr>
                <w:b/>
              </w:rPr>
              <w:t>eur</w:t>
            </w:r>
            <w:proofErr w:type="spellEnd"/>
            <w:r w:rsidRPr="008E2368">
              <w:rPr>
                <w:b/>
              </w:rPr>
              <w:t>)</w:t>
            </w:r>
          </w:p>
        </w:tc>
      </w:tr>
      <w:tr w:rsidR="00F73E1F" w:rsidTr="008E2368">
        <w:tc>
          <w:tcPr>
            <w:tcW w:w="2085" w:type="dxa"/>
          </w:tcPr>
          <w:p w:rsidR="00F73E1F" w:rsidRDefault="00F73E1F" w:rsidP="00ED566A">
            <w:pPr>
              <w:pStyle w:val="Odlomakpopisa"/>
              <w:tabs>
                <w:tab w:val="left" w:pos="5220"/>
              </w:tabs>
              <w:spacing w:line="360" w:lineRule="auto"/>
              <w:ind w:left="0"/>
            </w:pPr>
            <w:r>
              <w:t>92211</w:t>
            </w:r>
          </w:p>
        </w:tc>
        <w:tc>
          <w:tcPr>
            <w:tcW w:w="3853" w:type="dxa"/>
          </w:tcPr>
          <w:p w:rsidR="00F73E1F" w:rsidRDefault="00F73E1F" w:rsidP="00ED566A">
            <w:pPr>
              <w:pStyle w:val="Odlomakpopisa"/>
              <w:tabs>
                <w:tab w:val="left" w:pos="5220"/>
              </w:tabs>
              <w:spacing w:line="360" w:lineRule="auto"/>
              <w:ind w:left="0"/>
            </w:pPr>
            <w:r>
              <w:t xml:space="preserve">Višak prihoda poslovanja </w:t>
            </w:r>
          </w:p>
        </w:tc>
        <w:tc>
          <w:tcPr>
            <w:tcW w:w="1984" w:type="dxa"/>
          </w:tcPr>
          <w:p w:rsidR="00F73E1F" w:rsidRDefault="00F73E1F" w:rsidP="00ED566A">
            <w:pPr>
              <w:pStyle w:val="Odlomakpopisa"/>
              <w:tabs>
                <w:tab w:val="left" w:pos="5220"/>
              </w:tabs>
              <w:spacing w:line="360" w:lineRule="auto"/>
              <w:ind w:left="0"/>
            </w:pPr>
            <w:r>
              <w:t>11.516,32</w:t>
            </w:r>
          </w:p>
        </w:tc>
      </w:tr>
      <w:tr w:rsidR="00F73E1F" w:rsidTr="008E2368">
        <w:tc>
          <w:tcPr>
            <w:tcW w:w="2085" w:type="dxa"/>
          </w:tcPr>
          <w:p w:rsidR="00F73E1F" w:rsidRDefault="00F73E1F" w:rsidP="00ED566A">
            <w:pPr>
              <w:pStyle w:val="Odlomakpopisa"/>
              <w:tabs>
                <w:tab w:val="left" w:pos="5220"/>
              </w:tabs>
              <w:spacing w:line="360" w:lineRule="auto"/>
              <w:ind w:left="0"/>
            </w:pPr>
            <w:r>
              <w:t>92222</w:t>
            </w:r>
          </w:p>
        </w:tc>
        <w:tc>
          <w:tcPr>
            <w:tcW w:w="3853" w:type="dxa"/>
          </w:tcPr>
          <w:p w:rsidR="00F73E1F" w:rsidRDefault="00F73E1F" w:rsidP="00ED566A">
            <w:pPr>
              <w:pStyle w:val="Odlomakpopisa"/>
              <w:tabs>
                <w:tab w:val="left" w:pos="5220"/>
              </w:tabs>
              <w:spacing w:line="360" w:lineRule="auto"/>
              <w:ind w:left="0"/>
            </w:pPr>
            <w:r>
              <w:t>Manjak pr</w:t>
            </w:r>
            <w:r w:rsidR="008E2368">
              <w:t xml:space="preserve">ihoda od nefinancijske imovine </w:t>
            </w:r>
          </w:p>
        </w:tc>
        <w:tc>
          <w:tcPr>
            <w:tcW w:w="1984" w:type="dxa"/>
          </w:tcPr>
          <w:p w:rsidR="00F73E1F" w:rsidRDefault="008E2368" w:rsidP="00ED566A">
            <w:pPr>
              <w:pStyle w:val="Odlomakpopisa"/>
              <w:tabs>
                <w:tab w:val="left" w:pos="5220"/>
              </w:tabs>
              <w:spacing w:line="360" w:lineRule="auto"/>
              <w:ind w:left="0"/>
            </w:pPr>
            <w:r>
              <w:t>3.145,48</w:t>
            </w:r>
          </w:p>
          <w:p w:rsidR="008E2368" w:rsidRDefault="008E2368" w:rsidP="00ED566A">
            <w:pPr>
              <w:pStyle w:val="Odlomakpopisa"/>
              <w:tabs>
                <w:tab w:val="left" w:pos="5220"/>
              </w:tabs>
              <w:spacing w:line="360" w:lineRule="auto"/>
              <w:ind w:left="0"/>
            </w:pPr>
          </w:p>
          <w:p w:rsidR="008E2368" w:rsidRDefault="008E2368" w:rsidP="00ED566A">
            <w:pPr>
              <w:pStyle w:val="Odlomakpopisa"/>
              <w:tabs>
                <w:tab w:val="left" w:pos="5220"/>
              </w:tabs>
              <w:spacing w:line="360" w:lineRule="auto"/>
              <w:ind w:left="0"/>
            </w:pPr>
          </w:p>
        </w:tc>
      </w:tr>
      <w:tr w:rsidR="00F73E1F" w:rsidRPr="008E2368" w:rsidTr="008E2368">
        <w:trPr>
          <w:trHeight w:val="578"/>
        </w:trPr>
        <w:tc>
          <w:tcPr>
            <w:tcW w:w="2085" w:type="dxa"/>
          </w:tcPr>
          <w:p w:rsidR="00F73E1F" w:rsidRPr="008E2368" w:rsidRDefault="008E2368" w:rsidP="00ED566A">
            <w:pPr>
              <w:pStyle w:val="Odlomakpopisa"/>
              <w:tabs>
                <w:tab w:val="left" w:pos="5220"/>
              </w:tabs>
              <w:spacing w:line="360" w:lineRule="auto"/>
              <w:ind w:left="0"/>
              <w:rPr>
                <w:b/>
              </w:rPr>
            </w:pPr>
            <w:r w:rsidRPr="008E2368">
              <w:rPr>
                <w:b/>
              </w:rPr>
              <w:t>922</w:t>
            </w:r>
          </w:p>
        </w:tc>
        <w:tc>
          <w:tcPr>
            <w:tcW w:w="3853" w:type="dxa"/>
          </w:tcPr>
          <w:p w:rsidR="00F73E1F" w:rsidRPr="008E2368" w:rsidRDefault="008E2368" w:rsidP="00ED566A">
            <w:pPr>
              <w:pStyle w:val="Odlomakpopisa"/>
              <w:tabs>
                <w:tab w:val="left" w:pos="5220"/>
              </w:tabs>
              <w:spacing w:line="360" w:lineRule="auto"/>
              <w:ind w:left="0"/>
              <w:rPr>
                <w:b/>
              </w:rPr>
            </w:pPr>
            <w:r w:rsidRPr="008E2368">
              <w:rPr>
                <w:b/>
              </w:rPr>
              <w:t>Višak/manjak prihoda</w:t>
            </w:r>
          </w:p>
        </w:tc>
        <w:tc>
          <w:tcPr>
            <w:tcW w:w="1984" w:type="dxa"/>
          </w:tcPr>
          <w:p w:rsidR="00F73E1F" w:rsidRPr="008E2368" w:rsidRDefault="008E2368" w:rsidP="00ED566A">
            <w:pPr>
              <w:pStyle w:val="Odlomakpopisa"/>
              <w:tabs>
                <w:tab w:val="left" w:pos="5220"/>
              </w:tabs>
              <w:spacing w:line="360" w:lineRule="auto"/>
              <w:ind w:left="0"/>
              <w:rPr>
                <w:b/>
              </w:rPr>
            </w:pPr>
            <w:r w:rsidRPr="008E2368">
              <w:rPr>
                <w:b/>
              </w:rPr>
              <w:t>8.370,84</w:t>
            </w:r>
          </w:p>
        </w:tc>
      </w:tr>
    </w:tbl>
    <w:p w:rsidR="00F73E1F" w:rsidRDefault="00F73E1F" w:rsidP="00ED566A">
      <w:pPr>
        <w:pStyle w:val="Odlomakpopisa"/>
        <w:tabs>
          <w:tab w:val="left" w:pos="5220"/>
        </w:tabs>
        <w:spacing w:line="360" w:lineRule="auto"/>
      </w:pPr>
    </w:p>
    <w:p w:rsidR="00504532" w:rsidRDefault="00504532" w:rsidP="00ED566A">
      <w:pPr>
        <w:pStyle w:val="Odlomakpopisa"/>
        <w:tabs>
          <w:tab w:val="left" w:pos="5220"/>
        </w:tabs>
        <w:spacing w:line="360" w:lineRule="auto"/>
      </w:pPr>
    </w:p>
    <w:p w:rsidR="007E2468" w:rsidRPr="0047168F" w:rsidRDefault="007E2468" w:rsidP="00ED566A">
      <w:pPr>
        <w:tabs>
          <w:tab w:val="left" w:pos="5220"/>
        </w:tabs>
        <w:spacing w:line="360" w:lineRule="auto"/>
      </w:pPr>
    </w:p>
    <w:p w:rsidR="002447D7" w:rsidRDefault="007E2468" w:rsidP="00ED566A">
      <w:pPr>
        <w:spacing w:line="360" w:lineRule="auto"/>
        <w:rPr>
          <w:b/>
        </w:rPr>
      </w:pPr>
      <w:r w:rsidRPr="008E2368">
        <w:rPr>
          <w:b/>
        </w:rPr>
        <w:tab/>
      </w:r>
      <w:r w:rsidR="008E2368" w:rsidRPr="008E2368">
        <w:rPr>
          <w:b/>
        </w:rPr>
        <w:t xml:space="preserve">Tablica 2. Obvezna korekcija za kapitalne prihode </w:t>
      </w:r>
    </w:p>
    <w:p w:rsidR="008E2368" w:rsidRDefault="008E2368" w:rsidP="00ED566A">
      <w:pPr>
        <w:spacing w:line="360" w:lineRule="auto"/>
        <w:rPr>
          <w:b/>
        </w:rPr>
      </w:pPr>
    </w:p>
    <w:p w:rsidR="008E2368" w:rsidRDefault="008E2368" w:rsidP="00ED566A">
      <w:pPr>
        <w:spacing w:line="360" w:lineRule="auto"/>
        <w:jc w:val="center"/>
        <w:rPr>
          <w:b/>
        </w:rPr>
      </w:pPr>
    </w:p>
    <w:tbl>
      <w:tblPr>
        <w:tblStyle w:val="Reetkatablice"/>
        <w:tblW w:w="0" w:type="auto"/>
        <w:jc w:val="center"/>
        <w:tblLook w:val="04A0" w:firstRow="1" w:lastRow="0" w:firstColumn="1" w:lastColumn="0" w:noHBand="0" w:noVBand="1"/>
      </w:tblPr>
      <w:tblGrid>
        <w:gridCol w:w="1476"/>
        <w:gridCol w:w="1657"/>
        <w:gridCol w:w="1477"/>
        <w:gridCol w:w="1670"/>
        <w:gridCol w:w="1503"/>
      </w:tblGrid>
      <w:tr w:rsidR="008E2368" w:rsidTr="003B2FDC">
        <w:trPr>
          <w:jc w:val="center"/>
        </w:trPr>
        <w:tc>
          <w:tcPr>
            <w:tcW w:w="1476" w:type="dxa"/>
          </w:tcPr>
          <w:p w:rsidR="008E2368" w:rsidRDefault="008E2368" w:rsidP="00ED566A">
            <w:pPr>
              <w:spacing w:line="360" w:lineRule="auto"/>
              <w:rPr>
                <w:b/>
              </w:rPr>
            </w:pPr>
          </w:p>
        </w:tc>
        <w:tc>
          <w:tcPr>
            <w:tcW w:w="1657" w:type="dxa"/>
          </w:tcPr>
          <w:p w:rsidR="008E2368" w:rsidRDefault="008E2368" w:rsidP="00ED566A">
            <w:pPr>
              <w:spacing w:line="360" w:lineRule="auto"/>
              <w:rPr>
                <w:b/>
              </w:rPr>
            </w:pPr>
            <w:r>
              <w:rPr>
                <w:b/>
              </w:rPr>
              <w:t>Pozicije na dan 31. prosinca 2024.</w:t>
            </w:r>
          </w:p>
        </w:tc>
        <w:tc>
          <w:tcPr>
            <w:tcW w:w="1477" w:type="dxa"/>
          </w:tcPr>
          <w:p w:rsidR="008E2368" w:rsidRDefault="008E2368" w:rsidP="00ED566A">
            <w:pPr>
              <w:spacing w:line="360" w:lineRule="auto"/>
              <w:rPr>
                <w:b/>
              </w:rPr>
            </w:pPr>
            <w:r>
              <w:rPr>
                <w:b/>
              </w:rPr>
              <w:t>PR-RAS</w:t>
            </w:r>
          </w:p>
        </w:tc>
        <w:tc>
          <w:tcPr>
            <w:tcW w:w="1670" w:type="dxa"/>
          </w:tcPr>
          <w:p w:rsidR="008E2368" w:rsidRDefault="008E2368" w:rsidP="00ED566A">
            <w:pPr>
              <w:spacing w:line="360" w:lineRule="auto"/>
              <w:rPr>
                <w:b/>
              </w:rPr>
            </w:pPr>
            <w:r>
              <w:rPr>
                <w:b/>
              </w:rPr>
              <w:t>KOREKCIJA</w:t>
            </w:r>
          </w:p>
        </w:tc>
        <w:tc>
          <w:tcPr>
            <w:tcW w:w="1503" w:type="dxa"/>
          </w:tcPr>
          <w:p w:rsidR="008E2368" w:rsidRDefault="008E2368" w:rsidP="00ED566A">
            <w:pPr>
              <w:spacing w:line="360" w:lineRule="auto"/>
              <w:rPr>
                <w:b/>
              </w:rPr>
            </w:pPr>
            <w:r>
              <w:rPr>
                <w:b/>
              </w:rPr>
              <w:t xml:space="preserve">BILANCA </w:t>
            </w:r>
          </w:p>
        </w:tc>
      </w:tr>
      <w:tr w:rsidR="008E2368" w:rsidTr="003B2FDC">
        <w:trPr>
          <w:jc w:val="center"/>
        </w:trPr>
        <w:tc>
          <w:tcPr>
            <w:tcW w:w="1476" w:type="dxa"/>
          </w:tcPr>
          <w:p w:rsidR="008E2368" w:rsidRDefault="008E2368" w:rsidP="00ED566A">
            <w:pPr>
              <w:spacing w:line="360" w:lineRule="auto"/>
              <w:rPr>
                <w:b/>
              </w:rPr>
            </w:pPr>
            <w:r>
              <w:rPr>
                <w:b/>
              </w:rPr>
              <w:t>92211</w:t>
            </w:r>
          </w:p>
        </w:tc>
        <w:tc>
          <w:tcPr>
            <w:tcW w:w="1657" w:type="dxa"/>
          </w:tcPr>
          <w:p w:rsidR="008E2368" w:rsidRPr="008E2368" w:rsidRDefault="008E2368" w:rsidP="00ED566A">
            <w:pPr>
              <w:spacing w:line="360" w:lineRule="auto"/>
            </w:pPr>
            <w:r>
              <w:t>Višak prihoda poslovanja</w:t>
            </w:r>
          </w:p>
        </w:tc>
        <w:tc>
          <w:tcPr>
            <w:tcW w:w="1477" w:type="dxa"/>
          </w:tcPr>
          <w:p w:rsidR="008E2368" w:rsidRPr="008E2368" w:rsidRDefault="003B2FDC" w:rsidP="00ED566A">
            <w:pPr>
              <w:spacing w:line="360" w:lineRule="auto"/>
            </w:pPr>
            <w:r>
              <w:t>25.776,45</w:t>
            </w:r>
          </w:p>
        </w:tc>
        <w:tc>
          <w:tcPr>
            <w:tcW w:w="1670" w:type="dxa"/>
          </w:tcPr>
          <w:p w:rsidR="008E2368" w:rsidRPr="003B2FDC" w:rsidRDefault="003B2FDC" w:rsidP="00ED566A">
            <w:pPr>
              <w:spacing w:line="360" w:lineRule="auto"/>
            </w:pPr>
            <w:r w:rsidRPr="003B2FDC">
              <w:t>-14.260,13</w:t>
            </w:r>
          </w:p>
        </w:tc>
        <w:tc>
          <w:tcPr>
            <w:tcW w:w="1503" w:type="dxa"/>
          </w:tcPr>
          <w:p w:rsidR="008E2368" w:rsidRPr="003B2FDC" w:rsidRDefault="003B2FDC" w:rsidP="00ED566A">
            <w:pPr>
              <w:spacing w:line="360" w:lineRule="auto"/>
            </w:pPr>
            <w:r w:rsidRPr="003B2FDC">
              <w:t>11.516,32</w:t>
            </w:r>
          </w:p>
        </w:tc>
      </w:tr>
      <w:tr w:rsidR="008E2368" w:rsidTr="003B2FDC">
        <w:trPr>
          <w:jc w:val="center"/>
        </w:trPr>
        <w:tc>
          <w:tcPr>
            <w:tcW w:w="1476" w:type="dxa"/>
          </w:tcPr>
          <w:p w:rsidR="008E2368" w:rsidRDefault="008E2368" w:rsidP="00ED566A">
            <w:pPr>
              <w:spacing w:line="360" w:lineRule="auto"/>
              <w:rPr>
                <w:b/>
              </w:rPr>
            </w:pPr>
            <w:r>
              <w:rPr>
                <w:b/>
              </w:rPr>
              <w:t>92222</w:t>
            </w:r>
          </w:p>
        </w:tc>
        <w:tc>
          <w:tcPr>
            <w:tcW w:w="1657" w:type="dxa"/>
          </w:tcPr>
          <w:p w:rsidR="008E2368" w:rsidRPr="008E2368" w:rsidRDefault="008E2368" w:rsidP="00ED566A">
            <w:pPr>
              <w:spacing w:line="360" w:lineRule="auto"/>
            </w:pPr>
            <w:r>
              <w:t xml:space="preserve">Manjak prihoda od nefinancijske imovine </w:t>
            </w:r>
          </w:p>
        </w:tc>
        <w:tc>
          <w:tcPr>
            <w:tcW w:w="1477" w:type="dxa"/>
          </w:tcPr>
          <w:p w:rsidR="008E2368" w:rsidRPr="008E2368" w:rsidRDefault="008E2368" w:rsidP="00ED566A">
            <w:pPr>
              <w:spacing w:line="360" w:lineRule="auto"/>
            </w:pPr>
            <w:r w:rsidRPr="008E2368">
              <w:t>17.405,61</w:t>
            </w:r>
          </w:p>
        </w:tc>
        <w:tc>
          <w:tcPr>
            <w:tcW w:w="1670" w:type="dxa"/>
          </w:tcPr>
          <w:p w:rsidR="008E2368" w:rsidRPr="003B2FDC" w:rsidRDefault="003B2FDC" w:rsidP="00ED566A">
            <w:pPr>
              <w:spacing w:line="360" w:lineRule="auto"/>
            </w:pPr>
            <w:r w:rsidRPr="003B2FDC">
              <w:t>-14.260,13</w:t>
            </w:r>
          </w:p>
        </w:tc>
        <w:tc>
          <w:tcPr>
            <w:tcW w:w="1503" w:type="dxa"/>
          </w:tcPr>
          <w:p w:rsidR="008E2368" w:rsidRPr="003B2FDC" w:rsidRDefault="003B2FDC" w:rsidP="00ED566A">
            <w:pPr>
              <w:spacing w:line="360" w:lineRule="auto"/>
            </w:pPr>
            <w:r w:rsidRPr="003B2FDC">
              <w:t>3.145,48</w:t>
            </w:r>
          </w:p>
        </w:tc>
      </w:tr>
      <w:tr w:rsidR="008E2368" w:rsidTr="003B2FDC">
        <w:trPr>
          <w:jc w:val="center"/>
        </w:trPr>
        <w:tc>
          <w:tcPr>
            <w:tcW w:w="1476" w:type="dxa"/>
          </w:tcPr>
          <w:p w:rsidR="008E2368" w:rsidRDefault="008E2368" w:rsidP="00ED566A">
            <w:pPr>
              <w:spacing w:line="360" w:lineRule="auto"/>
              <w:rPr>
                <w:b/>
              </w:rPr>
            </w:pPr>
            <w:r>
              <w:rPr>
                <w:b/>
              </w:rPr>
              <w:t>922</w:t>
            </w:r>
          </w:p>
        </w:tc>
        <w:tc>
          <w:tcPr>
            <w:tcW w:w="1657" w:type="dxa"/>
          </w:tcPr>
          <w:p w:rsidR="008E2368" w:rsidRDefault="008E2368" w:rsidP="00ED566A">
            <w:pPr>
              <w:spacing w:line="360" w:lineRule="auto"/>
              <w:rPr>
                <w:b/>
              </w:rPr>
            </w:pPr>
            <w:r>
              <w:rPr>
                <w:b/>
              </w:rPr>
              <w:t xml:space="preserve">Višak/manjak prihoda </w:t>
            </w:r>
          </w:p>
        </w:tc>
        <w:tc>
          <w:tcPr>
            <w:tcW w:w="1477" w:type="dxa"/>
          </w:tcPr>
          <w:p w:rsidR="008E2368" w:rsidRDefault="003B2FDC" w:rsidP="00ED566A">
            <w:pPr>
              <w:spacing w:line="360" w:lineRule="auto"/>
              <w:rPr>
                <w:b/>
              </w:rPr>
            </w:pPr>
            <w:r>
              <w:rPr>
                <w:b/>
              </w:rPr>
              <w:t>8.370,84</w:t>
            </w:r>
          </w:p>
        </w:tc>
        <w:tc>
          <w:tcPr>
            <w:tcW w:w="1670" w:type="dxa"/>
          </w:tcPr>
          <w:p w:rsidR="008E2368" w:rsidRDefault="008E2368" w:rsidP="00ED566A">
            <w:pPr>
              <w:spacing w:line="360" w:lineRule="auto"/>
              <w:rPr>
                <w:b/>
              </w:rPr>
            </w:pPr>
          </w:p>
        </w:tc>
        <w:tc>
          <w:tcPr>
            <w:tcW w:w="1503" w:type="dxa"/>
          </w:tcPr>
          <w:p w:rsidR="008E2368" w:rsidRDefault="003B2FDC" w:rsidP="00ED566A">
            <w:pPr>
              <w:spacing w:line="360" w:lineRule="auto"/>
              <w:rPr>
                <w:b/>
              </w:rPr>
            </w:pPr>
            <w:r>
              <w:rPr>
                <w:b/>
              </w:rPr>
              <w:t>8.370,84</w:t>
            </w:r>
          </w:p>
        </w:tc>
      </w:tr>
    </w:tbl>
    <w:p w:rsidR="008E2368" w:rsidRDefault="003B2FDC" w:rsidP="00ED566A">
      <w:pPr>
        <w:spacing w:line="360" w:lineRule="auto"/>
        <w:rPr>
          <w:b/>
        </w:rPr>
      </w:pPr>
      <w:r>
        <w:rPr>
          <w:b/>
        </w:rPr>
        <w:t xml:space="preserve"> </w:t>
      </w:r>
    </w:p>
    <w:p w:rsidR="004A619D" w:rsidRDefault="00FF5B34" w:rsidP="00ED566A">
      <w:pPr>
        <w:spacing w:after="160" w:line="360" w:lineRule="auto"/>
        <w:rPr>
          <w:b/>
        </w:rPr>
      </w:pPr>
      <w:r>
        <w:rPr>
          <w:b/>
        </w:rPr>
        <w:br w:type="page"/>
      </w:r>
    </w:p>
    <w:p w:rsidR="004A619D" w:rsidRPr="00ED566A" w:rsidRDefault="007B17BC" w:rsidP="00ED566A">
      <w:pPr>
        <w:pStyle w:val="Odlomakpopisa"/>
        <w:numPr>
          <w:ilvl w:val="0"/>
          <w:numId w:val="1"/>
        </w:numPr>
        <w:spacing w:line="360" w:lineRule="auto"/>
        <w:rPr>
          <w:b/>
        </w:rPr>
      </w:pPr>
      <w:r w:rsidRPr="00ED566A">
        <w:rPr>
          <w:b/>
        </w:rPr>
        <w:lastRenderedPageBreak/>
        <w:t xml:space="preserve">BILJEŠKE UZ IZVJEŠTAJ O PRIHODIMA I RASHODIMA, PRIMICIMA I IZDACIMA </w:t>
      </w:r>
    </w:p>
    <w:p w:rsidR="00FF5B34" w:rsidRDefault="00FF5B34" w:rsidP="00ED566A">
      <w:pPr>
        <w:spacing w:line="360" w:lineRule="auto"/>
      </w:pPr>
    </w:p>
    <w:p w:rsidR="00FF5B34" w:rsidRDefault="00FF5B34" w:rsidP="00ED566A">
      <w:pPr>
        <w:spacing w:line="360" w:lineRule="auto"/>
      </w:pPr>
    </w:p>
    <w:p w:rsidR="00FF5B34" w:rsidRDefault="00FF5B34" w:rsidP="00ED566A">
      <w:pPr>
        <w:spacing w:line="360" w:lineRule="auto"/>
        <w:rPr>
          <w:i/>
          <w:u w:val="single"/>
        </w:rPr>
      </w:pPr>
      <w:r w:rsidRPr="00FF5B34">
        <w:rPr>
          <w:i/>
          <w:u w:val="single"/>
        </w:rPr>
        <w:t xml:space="preserve">Šifra 636 </w:t>
      </w:r>
      <w:r w:rsidR="00B72EA9">
        <w:rPr>
          <w:i/>
          <w:u w:val="single"/>
        </w:rPr>
        <w:t>– Pomoći proračunskim korisnicima iz proračuna koji im nije nadležan</w:t>
      </w:r>
    </w:p>
    <w:p w:rsidR="00B72EA9" w:rsidRPr="00FF5B34" w:rsidRDefault="00B72EA9" w:rsidP="00ED566A">
      <w:pPr>
        <w:spacing w:line="360" w:lineRule="auto"/>
        <w:rPr>
          <w:i/>
          <w:u w:val="single"/>
        </w:rPr>
      </w:pPr>
    </w:p>
    <w:p w:rsidR="00FF5B34" w:rsidRDefault="00FF5B34" w:rsidP="00ED566A">
      <w:pPr>
        <w:spacing w:line="360" w:lineRule="auto"/>
        <w:jc w:val="both"/>
      </w:pPr>
      <w:r>
        <w:t xml:space="preserve">Prihodi od pomoći proračunskim korisnicima iz proračuna koji im nije nadležan ostvareni su za 20,8% u odnosnu na izvještajno razdoblje prethodne godine. </w:t>
      </w:r>
      <w:r w:rsidR="00B72EA9">
        <w:t xml:space="preserve">Ovi prihodi uključuju prihode Ministarstva za financiranje plaća i drugih materijalnih prava zaposlenika te prihode za financiranje školske prehrane učenika i prihode za nabavu menstrualnih higijenskih potrepština te prihode za provedbu projekta „Školski medni dan“. Do povećanja je došlo zbog povećanja plaća i materijalnih prava zaposlenika u javnom sektoru. Ujedno, povećali su se i prihodi od Općine za sufinanciranje plaća i materijalnih prava učiteljicama u produženom boravku. Osim prihoda za plaće, škola je od Ministarstva zaprimila novčana sredstva u iznosu od 1.500,00 eura za financiranje izvannastavne aktivnosti po nazivu „Čuvari riječi“ koji će biti utrošeni u 2025. godini. </w:t>
      </w:r>
    </w:p>
    <w:p w:rsidR="00B72EA9" w:rsidRDefault="00B72EA9" w:rsidP="00ED566A">
      <w:pPr>
        <w:spacing w:line="360" w:lineRule="auto"/>
        <w:jc w:val="both"/>
      </w:pPr>
    </w:p>
    <w:p w:rsidR="00B72EA9" w:rsidRPr="00B72EA9" w:rsidRDefault="00B72EA9" w:rsidP="00ED566A">
      <w:pPr>
        <w:spacing w:line="360" w:lineRule="auto"/>
        <w:jc w:val="both"/>
        <w:rPr>
          <w:i/>
          <w:u w:val="single"/>
        </w:rPr>
      </w:pPr>
      <w:r w:rsidRPr="00B72EA9">
        <w:rPr>
          <w:i/>
          <w:u w:val="single"/>
        </w:rPr>
        <w:t>Šifra 641 – Prihodi od financijske imovine</w:t>
      </w:r>
    </w:p>
    <w:p w:rsidR="00B72EA9" w:rsidRDefault="00B72EA9" w:rsidP="00ED566A">
      <w:pPr>
        <w:spacing w:line="360" w:lineRule="auto"/>
        <w:jc w:val="both"/>
      </w:pPr>
    </w:p>
    <w:p w:rsidR="00FF5B34" w:rsidRDefault="00B72EA9" w:rsidP="00ED566A">
      <w:pPr>
        <w:spacing w:line="360" w:lineRule="auto"/>
      </w:pPr>
      <w:r>
        <w:t xml:space="preserve">U ovom izvještajnom razdoblju došlo je do povećanja kamata na oročena sredstva i depozite po viđenju za 14,9% u odnosu na prethodno razdoblje te oni iznose 109,6 eura. povećanje je ostvareno zbog povećanja kamata na depozite na financijskom tržištu. </w:t>
      </w:r>
    </w:p>
    <w:p w:rsidR="00B72EA9" w:rsidRDefault="00B72EA9" w:rsidP="00ED566A">
      <w:pPr>
        <w:spacing w:line="360" w:lineRule="auto"/>
      </w:pPr>
    </w:p>
    <w:p w:rsidR="00B72EA9" w:rsidRDefault="00B72EA9" w:rsidP="00ED566A">
      <w:pPr>
        <w:spacing w:line="360" w:lineRule="auto"/>
        <w:rPr>
          <w:i/>
          <w:u w:val="single"/>
        </w:rPr>
      </w:pPr>
      <w:r w:rsidRPr="00211CBB">
        <w:rPr>
          <w:i/>
          <w:u w:val="single"/>
        </w:rPr>
        <w:t>Šifra 652 – Prihodi po posebnim pro</w:t>
      </w:r>
      <w:r w:rsidR="00211CBB" w:rsidRPr="00211CBB">
        <w:rPr>
          <w:i/>
          <w:u w:val="single"/>
        </w:rPr>
        <w:t>pisima</w:t>
      </w:r>
    </w:p>
    <w:p w:rsidR="00211CBB" w:rsidRDefault="00211CBB" w:rsidP="00ED566A">
      <w:pPr>
        <w:spacing w:line="360" w:lineRule="auto"/>
        <w:rPr>
          <w:i/>
          <w:u w:val="single"/>
        </w:rPr>
      </w:pPr>
    </w:p>
    <w:p w:rsidR="00211CBB" w:rsidRDefault="00211CBB" w:rsidP="00ED566A">
      <w:pPr>
        <w:spacing w:line="360" w:lineRule="auto"/>
        <w:jc w:val="both"/>
      </w:pPr>
      <w:r>
        <w:t xml:space="preserve">Prihodi po posebnim propisima uključuju prihode ostvarene od uplate roditelja za financiranje produženog boravka tj. nabave potrebnih materijala i namirnice za provođenje nastave i prehrane učenika u produženom boravku. U ovom izvještajnom razdoblju došlo je do povećanja od 44,3% u odnosu na prethodno razdoblje te oni iznose 28.835,45 eura. Do povećanja je došlo zbog većeg broja djece upisanih u produženi boravak početkom nove školske godine 2024./2025. Ujedno, u ovom izvještajnom razdoblje provodio se i projekt „Činimo dobro otiskom srca“ za čiju provedbu su doznačna novčana sredstva u iznosu od 3.000,00 eura. </w:t>
      </w:r>
    </w:p>
    <w:p w:rsidR="00211CBB" w:rsidRDefault="00211CBB" w:rsidP="00ED566A">
      <w:pPr>
        <w:spacing w:line="360" w:lineRule="auto"/>
        <w:jc w:val="both"/>
      </w:pPr>
    </w:p>
    <w:p w:rsidR="00ED566A" w:rsidRDefault="00ED566A" w:rsidP="00ED566A">
      <w:pPr>
        <w:spacing w:line="360" w:lineRule="auto"/>
        <w:jc w:val="both"/>
      </w:pPr>
    </w:p>
    <w:p w:rsidR="00211CBB" w:rsidRDefault="00211CBB" w:rsidP="00ED566A">
      <w:pPr>
        <w:spacing w:line="360" w:lineRule="auto"/>
        <w:jc w:val="both"/>
        <w:rPr>
          <w:i/>
          <w:u w:val="single"/>
        </w:rPr>
      </w:pPr>
      <w:r w:rsidRPr="00211CBB">
        <w:rPr>
          <w:i/>
          <w:u w:val="single"/>
        </w:rPr>
        <w:lastRenderedPageBreak/>
        <w:t xml:space="preserve">Šifra 661 – Prihodi od prodaje proizvoda i robe te pruženih usluga </w:t>
      </w:r>
    </w:p>
    <w:p w:rsidR="00211CBB" w:rsidRDefault="00211CBB" w:rsidP="00ED566A">
      <w:pPr>
        <w:spacing w:line="360" w:lineRule="auto"/>
        <w:jc w:val="both"/>
        <w:rPr>
          <w:i/>
          <w:u w:val="single"/>
        </w:rPr>
      </w:pPr>
    </w:p>
    <w:p w:rsidR="00211CBB" w:rsidRDefault="00211CBB" w:rsidP="00ED566A">
      <w:pPr>
        <w:spacing w:line="360" w:lineRule="auto"/>
        <w:jc w:val="both"/>
      </w:pPr>
      <w:r>
        <w:t>Prihodi od prodaje proizvoda i robe te pruženih usluga odnose se na prodaju proizvoda učeničke zadruge te prihode ostvarene od najma učionice i dvorane za provedbu izvođenja nastave stranih jezika i učenja standardnih plesova. U ovom izvještajnom razdoblju u odnosu na prethodno došlo je do povećanja za 281,5% te oni iznose 2.199,75 eura. Do povećanja je došlo zbog toga što u prethodnom izvještajnom razdoblju nije bilo prihoda od najma već su samo bili ostvareni prihodi od prodaje proizvoda učeničke zadruge.</w:t>
      </w:r>
    </w:p>
    <w:p w:rsidR="00211CBB" w:rsidRDefault="00211CBB" w:rsidP="00ED566A">
      <w:pPr>
        <w:spacing w:line="360" w:lineRule="auto"/>
        <w:jc w:val="both"/>
      </w:pPr>
    </w:p>
    <w:p w:rsidR="00211CBB" w:rsidRDefault="00296406" w:rsidP="00ED566A">
      <w:pPr>
        <w:spacing w:line="360" w:lineRule="auto"/>
        <w:jc w:val="both"/>
        <w:rPr>
          <w:i/>
          <w:u w:val="single"/>
        </w:rPr>
      </w:pPr>
      <w:r w:rsidRPr="00296406">
        <w:rPr>
          <w:i/>
          <w:u w:val="single"/>
        </w:rPr>
        <w:t xml:space="preserve">Šifra 663 – Donacije od pravnih i fizičkih osoba izvan općeg proračuna i povrat donacija po protestiranim jamstvima </w:t>
      </w:r>
    </w:p>
    <w:p w:rsidR="00296406" w:rsidRDefault="00296406" w:rsidP="00ED566A">
      <w:pPr>
        <w:spacing w:line="360" w:lineRule="auto"/>
        <w:jc w:val="both"/>
        <w:rPr>
          <w:i/>
          <w:u w:val="single"/>
        </w:rPr>
      </w:pPr>
    </w:p>
    <w:p w:rsidR="00296406" w:rsidRDefault="00296406" w:rsidP="00ED566A">
      <w:pPr>
        <w:spacing w:line="360" w:lineRule="auto"/>
        <w:jc w:val="both"/>
      </w:pPr>
      <w:r>
        <w:t xml:space="preserve">Donacije od pravnih i fizičkih osoba izvan općeg proračuna odnose se na donacije </w:t>
      </w:r>
      <w:r w:rsidR="00597519">
        <w:t>koje je škola zaprimila za projekt „Skupljajmo zajedno stare baterije“ te od Žiger škole stranih jezika za kupnju potrebne oprema za uspješno provođenje nastavnih procesa. U ovom izvještajnom razdoblju ovi prihodi su manji za 14,7% u odnosu na prethodno razdoblje.</w:t>
      </w:r>
    </w:p>
    <w:p w:rsidR="00597519" w:rsidRDefault="00597519" w:rsidP="00ED566A">
      <w:pPr>
        <w:spacing w:line="360" w:lineRule="auto"/>
        <w:jc w:val="both"/>
      </w:pPr>
    </w:p>
    <w:p w:rsidR="00597519" w:rsidRDefault="00597519" w:rsidP="00ED566A">
      <w:pPr>
        <w:spacing w:line="360" w:lineRule="auto"/>
        <w:jc w:val="both"/>
        <w:rPr>
          <w:i/>
          <w:u w:val="single"/>
        </w:rPr>
      </w:pPr>
      <w:r w:rsidRPr="00597519">
        <w:rPr>
          <w:i/>
          <w:u w:val="single"/>
        </w:rPr>
        <w:t>671 – Prihodi iz nadležnog proračuna za financiranje redovne djelatnosti proračunskih korisnika</w:t>
      </w:r>
    </w:p>
    <w:p w:rsidR="00597519" w:rsidRDefault="00597519" w:rsidP="00ED566A">
      <w:pPr>
        <w:spacing w:line="360" w:lineRule="auto"/>
        <w:jc w:val="both"/>
        <w:rPr>
          <w:i/>
          <w:u w:val="single"/>
        </w:rPr>
      </w:pPr>
    </w:p>
    <w:p w:rsidR="00597519" w:rsidRDefault="00597519" w:rsidP="00ED566A">
      <w:pPr>
        <w:spacing w:line="360" w:lineRule="auto"/>
        <w:jc w:val="both"/>
      </w:pPr>
      <w:r>
        <w:t>U ovom izvještajnom razdoblju ostvareno je 74.256,71 eura prihoda odnosno za 20,6% više nego prethodno izvještajnom razdoblje. Iz ovih prihoda financira se redovno poslovanje škole, a financijska sredstva doznačena su iz županijskog proračuna. Prihodi iz nadležnog proračuna za financiranje rashoda poslovanja ostvareni su u iznosu od 61.066,01 eura u ovom izvještajnom razdoblju dok su prihodi iz nadležnog proračuna za financiranje rashoda za nabavu nefinancijske imovine ostvareni u iznosu od 13.190,70 eura</w:t>
      </w:r>
      <w:r w:rsidR="004F27EB">
        <w:t xml:space="preserve">. Do povećanja ovih prihoda u ovom izvještajnom razdoblju došlo je zbog ostvarenja prihoda po zaključcima za sanaciju krovišta školske dvorane i zida učionice od vlage. </w:t>
      </w:r>
      <w:r>
        <w:t xml:space="preserve"> </w:t>
      </w:r>
    </w:p>
    <w:p w:rsidR="004F27EB" w:rsidRDefault="004F27EB" w:rsidP="00ED566A">
      <w:pPr>
        <w:spacing w:line="360" w:lineRule="auto"/>
        <w:jc w:val="both"/>
      </w:pPr>
    </w:p>
    <w:p w:rsidR="004F27EB" w:rsidRDefault="004F27EB" w:rsidP="00ED566A">
      <w:pPr>
        <w:spacing w:line="360" w:lineRule="auto"/>
        <w:jc w:val="both"/>
        <w:rPr>
          <w:i/>
          <w:u w:val="single"/>
        </w:rPr>
      </w:pPr>
      <w:r w:rsidRPr="004F27EB">
        <w:rPr>
          <w:i/>
          <w:u w:val="single"/>
        </w:rPr>
        <w:t>Šifra 311 – Plaće (bruto)</w:t>
      </w:r>
    </w:p>
    <w:p w:rsidR="004F27EB" w:rsidRDefault="004F27EB" w:rsidP="00ED566A">
      <w:pPr>
        <w:spacing w:line="360" w:lineRule="auto"/>
        <w:jc w:val="both"/>
        <w:rPr>
          <w:i/>
          <w:u w:val="single"/>
        </w:rPr>
      </w:pPr>
    </w:p>
    <w:p w:rsidR="004F27EB" w:rsidRDefault="004F27EB" w:rsidP="00ED566A">
      <w:pPr>
        <w:spacing w:line="360" w:lineRule="auto"/>
        <w:jc w:val="both"/>
      </w:pPr>
      <w:r>
        <w:t>U ovom izvještajnom razdoblju bruto plaće zaposlenih iznose 486.594,03 eura što je povećanje od 25,9% u odnosu na prethodno izvještajnom razdoblje. Razlog ovog povećanja je povećanje plaća i materijalnih prava zaposlenika u javnom sektoru Odlukom Vlade RH.</w:t>
      </w:r>
    </w:p>
    <w:p w:rsidR="004F27EB" w:rsidRDefault="004F27EB" w:rsidP="00ED566A">
      <w:pPr>
        <w:spacing w:line="360" w:lineRule="auto"/>
        <w:jc w:val="both"/>
      </w:pPr>
    </w:p>
    <w:p w:rsidR="004F27EB" w:rsidRDefault="004F27EB" w:rsidP="00ED566A">
      <w:pPr>
        <w:spacing w:line="360" w:lineRule="auto"/>
        <w:jc w:val="both"/>
        <w:rPr>
          <w:i/>
          <w:u w:val="single"/>
        </w:rPr>
      </w:pPr>
      <w:r w:rsidRPr="004F27EB">
        <w:rPr>
          <w:i/>
          <w:u w:val="single"/>
        </w:rPr>
        <w:t xml:space="preserve">Šifra 312 – Ostali rashodi za zaposlene </w:t>
      </w:r>
    </w:p>
    <w:p w:rsidR="004F27EB" w:rsidRDefault="004F27EB" w:rsidP="00ED566A">
      <w:pPr>
        <w:spacing w:line="360" w:lineRule="auto"/>
        <w:jc w:val="both"/>
        <w:rPr>
          <w:i/>
          <w:u w:val="single"/>
        </w:rPr>
      </w:pPr>
    </w:p>
    <w:p w:rsidR="004F27EB" w:rsidRDefault="004F27EB" w:rsidP="00ED566A">
      <w:pPr>
        <w:spacing w:line="360" w:lineRule="auto"/>
        <w:jc w:val="both"/>
      </w:pPr>
      <w:r>
        <w:t xml:space="preserve">Ostali rashodi za zaposlene odnose se na materijalna prava zaposlenika i one su u ovom izvještajnom razdoblju iznose 22.821,01 eura što je za 5,6% manje nego prethodno razdoblje. U ovom izvještajnom razdoblju bilo je isplaćeno manje materijalnih prava nego u prethodnom kada je bilo više isplata jubilarnih nagrada. </w:t>
      </w:r>
    </w:p>
    <w:p w:rsidR="004F27EB" w:rsidRDefault="004F27EB" w:rsidP="00ED566A">
      <w:pPr>
        <w:spacing w:line="360" w:lineRule="auto"/>
        <w:jc w:val="both"/>
      </w:pPr>
    </w:p>
    <w:p w:rsidR="004F27EB" w:rsidRDefault="004F27EB" w:rsidP="00ED566A">
      <w:pPr>
        <w:spacing w:line="360" w:lineRule="auto"/>
        <w:jc w:val="both"/>
        <w:rPr>
          <w:i/>
          <w:u w:val="single"/>
        </w:rPr>
      </w:pPr>
      <w:r w:rsidRPr="004F27EB">
        <w:rPr>
          <w:i/>
          <w:u w:val="single"/>
        </w:rPr>
        <w:t xml:space="preserve">Šifra 313 – Doprinosi na plaće </w:t>
      </w:r>
    </w:p>
    <w:p w:rsidR="004F27EB" w:rsidRDefault="004F27EB" w:rsidP="00ED566A">
      <w:pPr>
        <w:spacing w:line="360" w:lineRule="auto"/>
        <w:jc w:val="both"/>
        <w:rPr>
          <w:i/>
          <w:u w:val="single"/>
        </w:rPr>
      </w:pPr>
    </w:p>
    <w:p w:rsidR="004F27EB" w:rsidRDefault="00F954E8" w:rsidP="00ED566A">
      <w:pPr>
        <w:spacing w:line="360" w:lineRule="auto"/>
        <w:jc w:val="both"/>
      </w:pPr>
      <w:r>
        <w:t>Doprinosi na plaće u ovom izvještajnom razdoblju iznose 74.448,05 eura i oni su za 19,5% veći nego u prethodnom razdoblju. Razlog toga povećanje je posljedica povećanja plaća zaposlenika u javnom sektoru.</w:t>
      </w:r>
    </w:p>
    <w:p w:rsidR="00F954E8" w:rsidRDefault="00F954E8" w:rsidP="00ED566A">
      <w:pPr>
        <w:spacing w:line="360" w:lineRule="auto"/>
        <w:jc w:val="both"/>
      </w:pPr>
    </w:p>
    <w:p w:rsidR="00F954E8" w:rsidRPr="00F954E8" w:rsidRDefault="00F954E8" w:rsidP="00ED566A">
      <w:pPr>
        <w:spacing w:line="360" w:lineRule="auto"/>
        <w:jc w:val="both"/>
        <w:rPr>
          <w:i/>
          <w:u w:val="single"/>
        </w:rPr>
      </w:pPr>
      <w:r w:rsidRPr="00F954E8">
        <w:rPr>
          <w:i/>
          <w:u w:val="single"/>
        </w:rPr>
        <w:t>Šifra 321 – Naknade troškova zaposlenima</w:t>
      </w:r>
    </w:p>
    <w:p w:rsidR="00F954E8" w:rsidRDefault="00F954E8" w:rsidP="00ED566A">
      <w:pPr>
        <w:spacing w:line="360" w:lineRule="auto"/>
        <w:jc w:val="both"/>
      </w:pPr>
    </w:p>
    <w:p w:rsidR="00F954E8" w:rsidRDefault="00F954E8" w:rsidP="00ED566A">
      <w:pPr>
        <w:spacing w:line="360" w:lineRule="auto"/>
        <w:jc w:val="both"/>
      </w:pPr>
      <w:r>
        <w:t>Naknade troškova zaposlenima odnose se na službena putovanja i naknade za prijevoz i stručno usavršavanje zaposlenika. U ovom izvještajnom razdoblju one iznose 30.101,52 eura što je za 23,2% više nego u prethodnom razdoblju. Do povećanja je došlo zbog više realiziranih putnih naloga i seminara</w:t>
      </w:r>
      <w:r w:rsidR="004540F4">
        <w:t xml:space="preserve"> zbog provođenja izvannastavnih projekta</w:t>
      </w:r>
      <w:r>
        <w:t>. Ujedno u ovom izvještajnom razdoblju provodio se tečaj djelatnika za rad u pismohrani i stručni ispit za upravljanje arhivskim gradivom.</w:t>
      </w:r>
    </w:p>
    <w:p w:rsidR="00F954E8" w:rsidRDefault="00F954E8" w:rsidP="00ED566A">
      <w:pPr>
        <w:spacing w:line="360" w:lineRule="auto"/>
        <w:jc w:val="both"/>
      </w:pPr>
    </w:p>
    <w:p w:rsidR="00F954E8" w:rsidRPr="00F954E8" w:rsidRDefault="00F954E8" w:rsidP="00ED566A">
      <w:pPr>
        <w:spacing w:line="360" w:lineRule="auto"/>
        <w:jc w:val="both"/>
        <w:rPr>
          <w:i/>
          <w:u w:val="single"/>
        </w:rPr>
      </w:pPr>
      <w:r w:rsidRPr="00F954E8">
        <w:rPr>
          <w:i/>
          <w:u w:val="single"/>
        </w:rPr>
        <w:t>Šifra 322 – Rashodi za materijal i energiju</w:t>
      </w:r>
    </w:p>
    <w:p w:rsidR="00F954E8" w:rsidRDefault="00F954E8" w:rsidP="00ED566A">
      <w:pPr>
        <w:spacing w:line="360" w:lineRule="auto"/>
        <w:jc w:val="both"/>
      </w:pPr>
    </w:p>
    <w:p w:rsidR="00F954E8" w:rsidRDefault="00F954E8" w:rsidP="00ED566A">
      <w:pPr>
        <w:spacing w:line="360" w:lineRule="auto"/>
        <w:jc w:val="both"/>
      </w:pPr>
      <w:r>
        <w:t>Rashodi za materijal i energiju veći su u odnosu na isto izvještajno razdoblje prethodne godine od 1,8% i oni iznose 60.982,25 eura. Ovi rashodi odnose se na nabavu potrebnog materijala potrebnih za provođenje nastave</w:t>
      </w:r>
      <w:r w:rsidR="004540F4">
        <w:t>. Razlog povećanja je povećanje cijene energenata na tržištu te duži boravak djece u školi i sudjelovanje u projektima za čiju realizaciju je bila potrebna nabava dodatnog materijala.</w:t>
      </w:r>
    </w:p>
    <w:p w:rsidR="004540F4" w:rsidRDefault="004540F4" w:rsidP="00ED566A">
      <w:pPr>
        <w:spacing w:line="360" w:lineRule="auto"/>
        <w:jc w:val="both"/>
      </w:pPr>
    </w:p>
    <w:p w:rsidR="00ED566A" w:rsidRDefault="00ED566A" w:rsidP="00ED566A">
      <w:pPr>
        <w:spacing w:line="360" w:lineRule="auto"/>
        <w:jc w:val="both"/>
      </w:pPr>
    </w:p>
    <w:p w:rsidR="004540F4" w:rsidRDefault="004540F4" w:rsidP="00ED566A">
      <w:pPr>
        <w:spacing w:line="360" w:lineRule="auto"/>
        <w:jc w:val="both"/>
      </w:pPr>
    </w:p>
    <w:p w:rsidR="004540F4" w:rsidRDefault="004540F4" w:rsidP="00ED566A">
      <w:pPr>
        <w:spacing w:line="360" w:lineRule="auto"/>
        <w:jc w:val="both"/>
      </w:pPr>
    </w:p>
    <w:p w:rsidR="004540F4" w:rsidRDefault="004540F4" w:rsidP="00ED566A">
      <w:pPr>
        <w:spacing w:line="360" w:lineRule="auto"/>
        <w:jc w:val="both"/>
        <w:rPr>
          <w:i/>
          <w:u w:val="single"/>
        </w:rPr>
      </w:pPr>
      <w:r w:rsidRPr="004540F4">
        <w:rPr>
          <w:i/>
          <w:u w:val="single"/>
        </w:rPr>
        <w:lastRenderedPageBreak/>
        <w:t>Šifra 323 – Rashodi za usluge</w:t>
      </w:r>
    </w:p>
    <w:p w:rsidR="004540F4" w:rsidRDefault="004540F4" w:rsidP="00ED566A">
      <w:pPr>
        <w:spacing w:line="360" w:lineRule="auto"/>
        <w:jc w:val="both"/>
        <w:rPr>
          <w:i/>
          <w:u w:val="single"/>
        </w:rPr>
      </w:pPr>
    </w:p>
    <w:p w:rsidR="004540F4" w:rsidRDefault="004540F4" w:rsidP="00ED566A">
      <w:pPr>
        <w:spacing w:line="360" w:lineRule="auto"/>
        <w:jc w:val="both"/>
      </w:pPr>
      <w:r>
        <w:t xml:space="preserve">Rashodi za usluge u ovom izvještajnom razdoblju u odnosu na prethodno smanjili su se za 3,8% i oni iznose 13.860,64 eura. Do smanjenja je došlo zbog smanjenja računalnih i ostalih usluga. </w:t>
      </w:r>
      <w:r w:rsidR="00783BDF">
        <w:t>Prošlom izvještajnom razdoblju održale su se radionice za recikliranje tekstile koje u ovom izvještajnom razdoblju nije bilo.</w:t>
      </w:r>
    </w:p>
    <w:p w:rsidR="00783BDF" w:rsidRDefault="00783BDF" w:rsidP="00ED566A">
      <w:pPr>
        <w:spacing w:line="360" w:lineRule="auto"/>
        <w:jc w:val="both"/>
      </w:pPr>
    </w:p>
    <w:p w:rsidR="00783BDF" w:rsidRDefault="00783BDF" w:rsidP="00ED566A">
      <w:pPr>
        <w:spacing w:line="360" w:lineRule="auto"/>
        <w:jc w:val="both"/>
        <w:rPr>
          <w:i/>
          <w:u w:val="single"/>
        </w:rPr>
      </w:pPr>
      <w:r w:rsidRPr="00783BDF">
        <w:rPr>
          <w:i/>
          <w:u w:val="single"/>
        </w:rPr>
        <w:t xml:space="preserve">Šifra 329 – Ostali nespomenuti rashodi poslovanja </w:t>
      </w:r>
    </w:p>
    <w:p w:rsidR="00783BDF" w:rsidRDefault="00783BDF" w:rsidP="00ED566A">
      <w:pPr>
        <w:spacing w:line="360" w:lineRule="auto"/>
        <w:jc w:val="both"/>
        <w:rPr>
          <w:i/>
          <w:u w:val="single"/>
        </w:rPr>
      </w:pPr>
    </w:p>
    <w:p w:rsidR="00783BDF" w:rsidRDefault="00783BDF" w:rsidP="00ED566A">
      <w:pPr>
        <w:spacing w:line="360" w:lineRule="auto"/>
        <w:jc w:val="both"/>
      </w:pPr>
      <w:r>
        <w:t xml:space="preserve">U ovom izvještajnom razdoblju došlo je do povećanja ostalih rashoda od 21,3% i one iznose 16.199,20 eura. Do povećanja je došlo zbog provedbe projekta </w:t>
      </w:r>
      <w:proofErr w:type="spellStart"/>
      <w:r>
        <w:t>sCOOLFOOD</w:t>
      </w:r>
      <w:proofErr w:type="spellEnd"/>
      <w:r>
        <w:t xml:space="preserve"> i za reprezentaciju za organiziranje županijskog stručnog vijeća učitelja nižih razreda. </w:t>
      </w:r>
    </w:p>
    <w:p w:rsidR="00783BDF" w:rsidRDefault="00783BDF" w:rsidP="00ED566A">
      <w:pPr>
        <w:spacing w:line="360" w:lineRule="auto"/>
        <w:jc w:val="both"/>
      </w:pPr>
    </w:p>
    <w:p w:rsidR="00783BDF" w:rsidRDefault="00783BDF" w:rsidP="00ED566A">
      <w:pPr>
        <w:spacing w:line="360" w:lineRule="auto"/>
        <w:jc w:val="both"/>
        <w:rPr>
          <w:i/>
          <w:u w:val="single"/>
        </w:rPr>
      </w:pPr>
      <w:r w:rsidRPr="00783BDF">
        <w:rPr>
          <w:i/>
          <w:u w:val="single"/>
        </w:rPr>
        <w:t>Šifra 343 – Ostali financijski rashodi</w:t>
      </w:r>
    </w:p>
    <w:p w:rsidR="00783BDF" w:rsidRDefault="00783BDF" w:rsidP="00ED566A">
      <w:pPr>
        <w:spacing w:line="360" w:lineRule="auto"/>
        <w:jc w:val="both"/>
        <w:rPr>
          <w:i/>
          <w:u w:val="single"/>
        </w:rPr>
      </w:pPr>
    </w:p>
    <w:p w:rsidR="00A948AE" w:rsidRDefault="00A948AE" w:rsidP="00ED566A">
      <w:pPr>
        <w:spacing w:line="360" w:lineRule="auto"/>
        <w:jc w:val="both"/>
      </w:pPr>
      <w:r>
        <w:t>U ukupnom iznosu ovi rashodi su veći u odnosu na prethodno izvještajno razdoblje za 9,5% i oni iznose 735,31 eura. Do povećanje je došlo zbog većih naknada banke za usluge platnog prometa.</w:t>
      </w:r>
    </w:p>
    <w:p w:rsidR="00A948AE" w:rsidRDefault="00A948AE" w:rsidP="00ED566A">
      <w:pPr>
        <w:spacing w:line="360" w:lineRule="auto"/>
        <w:jc w:val="both"/>
      </w:pPr>
    </w:p>
    <w:p w:rsidR="00A948AE" w:rsidRPr="00A948AE" w:rsidRDefault="00A948AE" w:rsidP="00ED566A">
      <w:pPr>
        <w:spacing w:line="360" w:lineRule="auto"/>
        <w:jc w:val="both"/>
        <w:rPr>
          <w:i/>
          <w:u w:val="single"/>
        </w:rPr>
      </w:pPr>
      <w:r w:rsidRPr="00A948AE">
        <w:rPr>
          <w:i/>
          <w:u w:val="single"/>
        </w:rPr>
        <w:t xml:space="preserve">Šifra 372 – Ostale naknade građanima i kućanstvima iz proračuna </w:t>
      </w:r>
    </w:p>
    <w:p w:rsidR="00A948AE" w:rsidRDefault="00A948AE" w:rsidP="00ED566A">
      <w:pPr>
        <w:spacing w:line="360" w:lineRule="auto"/>
        <w:jc w:val="both"/>
      </w:pPr>
    </w:p>
    <w:p w:rsidR="00A948AE" w:rsidRDefault="00A948AE" w:rsidP="00ED566A">
      <w:pPr>
        <w:spacing w:line="360" w:lineRule="auto"/>
        <w:jc w:val="both"/>
      </w:pPr>
      <w:r>
        <w:t>Ostale naknade odnose se na financiranje radnih udžbenika od strane Ministarstva. U ovom izvještajnom razdoblju ostale naknade iznose 3.180,10 eura što je za 17,4% manje nego u prethodnom razdoblju</w:t>
      </w:r>
      <w:r w:rsidR="005251B4">
        <w:t xml:space="preserve"> zbog </w:t>
      </w:r>
      <w:r w:rsidR="00E85DD0">
        <w:t xml:space="preserve">jer su ostali neiskorišteni od prethodne generacije. </w:t>
      </w:r>
    </w:p>
    <w:p w:rsidR="007939B8" w:rsidRDefault="007939B8" w:rsidP="00ED566A">
      <w:pPr>
        <w:spacing w:line="360" w:lineRule="auto"/>
        <w:jc w:val="both"/>
      </w:pPr>
    </w:p>
    <w:p w:rsidR="00A948AE" w:rsidRDefault="00A948AE" w:rsidP="00ED566A">
      <w:pPr>
        <w:spacing w:line="360" w:lineRule="auto"/>
        <w:jc w:val="both"/>
        <w:rPr>
          <w:i/>
          <w:u w:val="single"/>
        </w:rPr>
      </w:pPr>
      <w:r w:rsidRPr="000A49C3">
        <w:rPr>
          <w:i/>
          <w:u w:val="single"/>
        </w:rPr>
        <w:t xml:space="preserve">Šifra 42 </w:t>
      </w:r>
      <w:r w:rsidR="000A49C3" w:rsidRPr="000A49C3">
        <w:rPr>
          <w:i/>
          <w:u w:val="single"/>
        </w:rPr>
        <w:t>–</w:t>
      </w:r>
      <w:r w:rsidRPr="000A49C3">
        <w:rPr>
          <w:i/>
          <w:u w:val="single"/>
        </w:rPr>
        <w:t xml:space="preserve"> </w:t>
      </w:r>
      <w:r w:rsidR="000A49C3" w:rsidRPr="000A49C3">
        <w:rPr>
          <w:i/>
          <w:u w:val="single"/>
        </w:rPr>
        <w:t xml:space="preserve">Rashodi za nabavu proizvedene dugotrajne imovine </w:t>
      </w:r>
    </w:p>
    <w:p w:rsidR="000A49C3" w:rsidRDefault="000A49C3" w:rsidP="00ED566A">
      <w:pPr>
        <w:spacing w:line="360" w:lineRule="auto"/>
        <w:jc w:val="both"/>
        <w:rPr>
          <w:i/>
          <w:u w:val="single"/>
        </w:rPr>
      </w:pPr>
    </w:p>
    <w:p w:rsidR="00935671" w:rsidRDefault="000A49C3" w:rsidP="00ED566A">
      <w:pPr>
        <w:spacing w:line="360" w:lineRule="auto"/>
        <w:jc w:val="both"/>
      </w:pPr>
      <w:r>
        <w:t xml:space="preserve">Rashodi za nabavu proizvedene dugotrajne imovine u ovom izvještajnom razdoblju iznose 8.426,86 eura što je za 36,7% manje nego u prethodnom razdoblju. Do smanjenja je došlo zbog toga što </w:t>
      </w:r>
      <w:r w:rsidR="00935671">
        <w:t>se u prethodnom razdoblju opremala kuhinja i nabavljala računalna oprema.</w:t>
      </w:r>
    </w:p>
    <w:p w:rsidR="00E85DD0" w:rsidRDefault="00E85DD0" w:rsidP="00ED566A">
      <w:pPr>
        <w:spacing w:line="360" w:lineRule="auto"/>
        <w:jc w:val="both"/>
      </w:pPr>
    </w:p>
    <w:p w:rsidR="00E85DD0" w:rsidRDefault="00E85DD0" w:rsidP="00ED566A">
      <w:pPr>
        <w:spacing w:line="360" w:lineRule="auto"/>
        <w:jc w:val="both"/>
      </w:pPr>
    </w:p>
    <w:p w:rsidR="00E85DD0" w:rsidRDefault="00E85DD0" w:rsidP="00ED566A">
      <w:pPr>
        <w:spacing w:line="360" w:lineRule="auto"/>
        <w:jc w:val="both"/>
      </w:pPr>
    </w:p>
    <w:p w:rsidR="00E85DD0" w:rsidRDefault="00E85DD0" w:rsidP="00ED566A">
      <w:pPr>
        <w:spacing w:line="360" w:lineRule="auto"/>
        <w:jc w:val="both"/>
      </w:pPr>
    </w:p>
    <w:p w:rsidR="00935671" w:rsidRPr="00935671" w:rsidRDefault="00935671" w:rsidP="00ED566A">
      <w:pPr>
        <w:spacing w:line="360" w:lineRule="auto"/>
        <w:jc w:val="both"/>
        <w:rPr>
          <w:i/>
          <w:u w:val="single"/>
        </w:rPr>
      </w:pPr>
      <w:r w:rsidRPr="00935671">
        <w:rPr>
          <w:i/>
          <w:u w:val="single"/>
        </w:rPr>
        <w:lastRenderedPageBreak/>
        <w:t>Šifra 424 – Knjige, umjetnička djela i ostale izložbene vrijednosti</w:t>
      </w:r>
    </w:p>
    <w:p w:rsidR="00935671" w:rsidRDefault="00935671" w:rsidP="00ED566A">
      <w:pPr>
        <w:spacing w:line="360" w:lineRule="auto"/>
        <w:jc w:val="both"/>
      </w:pPr>
    </w:p>
    <w:p w:rsidR="00935671" w:rsidRDefault="00935671" w:rsidP="00ED566A">
      <w:pPr>
        <w:spacing w:line="360" w:lineRule="auto"/>
        <w:jc w:val="both"/>
      </w:pPr>
      <w:r>
        <w:t>U ovom izvještajnom razdoblju ovi prihodi su veći za 34,2% u odnosu na prethodno izvještajno razdoblje i oni iznose 2.470,32 eura. Do povećanja je došlo zbog opremanja školske knjižnice potrebnom lektirom za provedbu projekta „Čuvari riječi“.</w:t>
      </w:r>
    </w:p>
    <w:p w:rsidR="00935671" w:rsidRDefault="00935671" w:rsidP="00ED566A">
      <w:pPr>
        <w:spacing w:line="360" w:lineRule="auto"/>
        <w:jc w:val="both"/>
      </w:pPr>
    </w:p>
    <w:p w:rsidR="00935671" w:rsidRDefault="00935671" w:rsidP="00ED566A">
      <w:pPr>
        <w:spacing w:line="360" w:lineRule="auto"/>
        <w:jc w:val="both"/>
        <w:rPr>
          <w:i/>
          <w:u w:val="single"/>
        </w:rPr>
      </w:pPr>
      <w:r w:rsidRPr="00935671">
        <w:rPr>
          <w:i/>
          <w:u w:val="single"/>
        </w:rPr>
        <w:t xml:space="preserve">Šifra 451 – Dodatna ulaganja na građevinskim objektima </w:t>
      </w:r>
    </w:p>
    <w:p w:rsidR="00935671" w:rsidRDefault="00935671" w:rsidP="00ED566A">
      <w:pPr>
        <w:spacing w:line="360" w:lineRule="auto"/>
        <w:jc w:val="both"/>
        <w:rPr>
          <w:i/>
          <w:u w:val="single"/>
        </w:rPr>
      </w:pPr>
    </w:p>
    <w:p w:rsidR="00935671" w:rsidRPr="00935671" w:rsidRDefault="00935671" w:rsidP="00ED566A">
      <w:pPr>
        <w:spacing w:line="360" w:lineRule="auto"/>
        <w:jc w:val="both"/>
      </w:pPr>
      <w:r>
        <w:t>U ovom izvještajnom razdoblju došlo je do sanacije krovišta školske dvorane i zidova učionice od vlage te preuređenja i izrade kabineta te su dodatna ulaganja na građevinskim objektima u ovom izvještajnom razdoblju iznosi</w:t>
      </w:r>
      <w:r w:rsidR="005251B4">
        <w:t>la</w:t>
      </w:r>
      <w:r>
        <w:t xml:space="preserve"> 8.978,75 eura. </w:t>
      </w:r>
    </w:p>
    <w:p w:rsidR="00783BDF" w:rsidRDefault="00783BDF" w:rsidP="00ED566A">
      <w:pPr>
        <w:spacing w:line="360" w:lineRule="auto"/>
        <w:jc w:val="both"/>
      </w:pPr>
    </w:p>
    <w:p w:rsidR="005251B4" w:rsidRPr="005251B4" w:rsidRDefault="005251B4" w:rsidP="00ED566A">
      <w:pPr>
        <w:spacing w:line="360" w:lineRule="auto"/>
        <w:jc w:val="both"/>
        <w:rPr>
          <w:i/>
          <w:u w:val="single"/>
        </w:rPr>
      </w:pPr>
      <w:r w:rsidRPr="005251B4">
        <w:rPr>
          <w:i/>
          <w:u w:val="single"/>
        </w:rPr>
        <w:t>Šifra 9221-9222</w:t>
      </w:r>
      <w:r w:rsidR="00896EEA">
        <w:rPr>
          <w:i/>
          <w:u w:val="single"/>
        </w:rPr>
        <w:t xml:space="preserve"> Višak/manjak prihoda</w:t>
      </w:r>
    </w:p>
    <w:p w:rsidR="00783BDF" w:rsidRDefault="00783BDF" w:rsidP="00ED566A">
      <w:pPr>
        <w:spacing w:line="360" w:lineRule="auto"/>
        <w:jc w:val="both"/>
      </w:pPr>
    </w:p>
    <w:p w:rsidR="00896EEA" w:rsidRDefault="00896EEA" w:rsidP="00ED566A">
      <w:pPr>
        <w:spacing w:line="360" w:lineRule="auto"/>
        <w:jc w:val="both"/>
      </w:pPr>
      <w:r>
        <w:t>Višak prihoda preneseni iz prethodnog razdoblja iznosi 1.644,89 eura. Danom 31.12.2024. godine rađena je korekcija – otpis obveze po inventuri (zastara) u iznosu od 354,83 eura zbog pogrešnog knjiženja prijašnjih godina. S korekcijom višak prihoda preneseni s 31.12.2024. godine iznosi 1.999,70 eura.</w:t>
      </w:r>
    </w:p>
    <w:p w:rsidR="00896EEA" w:rsidRDefault="00896EEA" w:rsidP="00ED566A">
      <w:pPr>
        <w:spacing w:line="360" w:lineRule="auto"/>
        <w:jc w:val="both"/>
      </w:pPr>
      <w:r>
        <w:t>Višak prihoda raspoloživ u ovom razdoblju iznosi 6.371,14 eura.</w:t>
      </w:r>
    </w:p>
    <w:p w:rsidR="00896EEA" w:rsidRDefault="00896EEA" w:rsidP="00ED566A">
      <w:pPr>
        <w:spacing w:line="360" w:lineRule="auto"/>
        <w:jc w:val="both"/>
      </w:pPr>
      <w:r>
        <w:t>Višak prihoda i primitaka raspoloživ u sljedećem razdoblju iznosi 8.370,84 eura</w:t>
      </w:r>
      <w:r w:rsidR="000D2A83">
        <w:t xml:space="preserve">, a u trošit će se u 2025. godini za nabavu potrebnog materijala i opreme za provođenje nastavnog procesa. </w:t>
      </w:r>
    </w:p>
    <w:p w:rsidR="005802A7" w:rsidRPr="00783BDF" w:rsidRDefault="005802A7" w:rsidP="00ED566A">
      <w:pPr>
        <w:spacing w:line="360" w:lineRule="auto"/>
        <w:jc w:val="both"/>
      </w:pPr>
    </w:p>
    <w:p w:rsidR="00211CBB" w:rsidRDefault="00211CBB" w:rsidP="00ED566A">
      <w:pPr>
        <w:spacing w:line="360" w:lineRule="auto"/>
      </w:pPr>
    </w:p>
    <w:p w:rsidR="005802A7" w:rsidRPr="00ED566A" w:rsidRDefault="005802A7" w:rsidP="00ED566A">
      <w:pPr>
        <w:pStyle w:val="Odlomakpopisa"/>
        <w:numPr>
          <w:ilvl w:val="0"/>
          <w:numId w:val="1"/>
        </w:numPr>
        <w:spacing w:line="360" w:lineRule="auto"/>
        <w:rPr>
          <w:b/>
        </w:rPr>
      </w:pPr>
      <w:r w:rsidRPr="00ED566A">
        <w:rPr>
          <w:b/>
        </w:rPr>
        <w:t>BILJEŠKE UZ OBRAZAC IZVJEŠTAJ O OBVEZAMA</w:t>
      </w:r>
    </w:p>
    <w:p w:rsidR="005802A7" w:rsidRDefault="005802A7" w:rsidP="00ED566A">
      <w:pPr>
        <w:spacing w:line="360" w:lineRule="auto"/>
      </w:pPr>
    </w:p>
    <w:p w:rsidR="005802A7" w:rsidRDefault="00CC3163" w:rsidP="00ED566A">
      <w:pPr>
        <w:spacing w:line="360" w:lineRule="auto"/>
        <w:jc w:val="both"/>
      </w:pPr>
      <w:r>
        <w:t>Tijekom izvještajnog razdoblja 2024. godine obveze su povećane za 752.530,10 eura (šifra V002)</w:t>
      </w:r>
      <w:r w:rsidR="00A00AD3">
        <w:t xml:space="preserve">. U istom izvještajnom razdoblju podmirene su obveze u iznosu od 753.886,52 eura (šifra V004). Ukupne nepodmirene obveze na dan 31. prosinca 2024. godine iznose 59.327,09 eura (šifra V006). Od toga 54.006,61 eura odnosi se na plaće zaposlenima za mjesec prosinac 2024. godine, a koje dospijevaju u mjesecu siječnju 2025. godine. </w:t>
      </w:r>
      <w:r w:rsidR="003D4274">
        <w:t xml:space="preserve">Dok obveze za povrat u proračun sredstava koja refundira HZZO iznosi 1.465,07 eura. Ukupne nepodmirene obveze za rashode poslovanja iznose 3.855,41 eura i odnose se na obveze prema dobavljačima koje će se podmiriti u siječnju 2025. godine kada dospijevaju na plaćanje. </w:t>
      </w:r>
    </w:p>
    <w:p w:rsidR="00ED566A" w:rsidRDefault="00ED566A" w:rsidP="00ED566A">
      <w:pPr>
        <w:spacing w:line="360" w:lineRule="auto"/>
        <w:jc w:val="both"/>
      </w:pPr>
    </w:p>
    <w:p w:rsidR="003D4274" w:rsidRDefault="003D4274" w:rsidP="00ED566A">
      <w:pPr>
        <w:spacing w:line="360" w:lineRule="auto"/>
        <w:jc w:val="both"/>
      </w:pPr>
    </w:p>
    <w:p w:rsidR="003D4274" w:rsidRPr="00ED566A" w:rsidRDefault="003D4274" w:rsidP="00ED566A">
      <w:pPr>
        <w:pStyle w:val="Odlomakpopisa"/>
        <w:numPr>
          <w:ilvl w:val="0"/>
          <w:numId w:val="1"/>
        </w:numPr>
        <w:spacing w:line="360" w:lineRule="auto"/>
        <w:jc w:val="both"/>
        <w:rPr>
          <w:b/>
        </w:rPr>
      </w:pPr>
      <w:r w:rsidRPr="00ED566A">
        <w:rPr>
          <w:b/>
        </w:rPr>
        <w:t>BILJEŠKE UZ IZVJEŠTAJ O PROMJENAMA U VRIJEDNOSTI I OBUJMU IMOVINE I OBVEZA</w:t>
      </w:r>
    </w:p>
    <w:p w:rsidR="003D4274" w:rsidRDefault="003D4274" w:rsidP="00ED566A">
      <w:pPr>
        <w:spacing w:line="360" w:lineRule="auto"/>
        <w:jc w:val="both"/>
      </w:pPr>
    </w:p>
    <w:p w:rsidR="003D4274" w:rsidRDefault="003D4274" w:rsidP="00ED566A">
      <w:pPr>
        <w:spacing w:line="360" w:lineRule="auto"/>
        <w:jc w:val="both"/>
      </w:pPr>
      <w:r>
        <w:t xml:space="preserve">U obrascu P-VRIO iskazuju se podaci o promjenama u vrijednosti i obujmu imovine i obveze koje nisu rezultat transakcija koje se iskazuju kao prihodi, primici, rashodi i izdaci. Promjene se mogu iskazati kao povećanje i smanjenje istovrsne imovine. Obujam proizvedene dugotrajne imovine </w:t>
      </w:r>
      <w:r w:rsidR="00DC500D">
        <w:t xml:space="preserve">uvećan je za 18.725,56 eura (šifra P018), a odnosi se na prijenos vlasništva oprema od CARNET na temelju Odluke od 1. siječnja 2024. godine u iznosu od 18.658,36 eura i donaciju knjiga za školsku knjižnicu od Županije u vrijednosti od 67,20 eura. Obujam obveza za rashode poslovanja (šifra P035) smanjen je za iznos zastarjele obveze i pogrešnog knjiženja prethodnih godina, a na temelju Prijedloga za otpis obveza s danom 31. prosinca 2024. godine u iznosu od 354,83 eura. </w:t>
      </w:r>
    </w:p>
    <w:p w:rsidR="00DC500D" w:rsidRDefault="00DC500D" w:rsidP="00ED566A">
      <w:pPr>
        <w:spacing w:line="360" w:lineRule="auto"/>
        <w:jc w:val="both"/>
      </w:pPr>
    </w:p>
    <w:p w:rsidR="00DC500D" w:rsidRDefault="00DC500D" w:rsidP="00ED566A">
      <w:pPr>
        <w:spacing w:line="360" w:lineRule="auto"/>
        <w:jc w:val="both"/>
      </w:pPr>
    </w:p>
    <w:p w:rsidR="00DC500D" w:rsidRDefault="00DC500D" w:rsidP="00ED566A">
      <w:pPr>
        <w:spacing w:line="360" w:lineRule="auto"/>
        <w:jc w:val="both"/>
      </w:pPr>
    </w:p>
    <w:p w:rsidR="00DC500D" w:rsidRDefault="00DC500D" w:rsidP="00ED566A">
      <w:pPr>
        <w:spacing w:line="360" w:lineRule="auto"/>
        <w:jc w:val="both"/>
      </w:pPr>
    </w:p>
    <w:p w:rsidR="00DC500D" w:rsidRDefault="00DC500D" w:rsidP="00ED566A">
      <w:pPr>
        <w:spacing w:line="360" w:lineRule="auto"/>
        <w:jc w:val="both"/>
      </w:pPr>
      <w:r>
        <w:t xml:space="preserve">Bilješke sastavila: Silvija </w:t>
      </w:r>
      <w:proofErr w:type="spellStart"/>
      <w:r>
        <w:t>Slivar</w:t>
      </w:r>
      <w:proofErr w:type="spellEnd"/>
      <w:r>
        <w:t>, voditeljica računovodstva</w:t>
      </w:r>
    </w:p>
    <w:p w:rsidR="00DC500D" w:rsidRDefault="00DC500D" w:rsidP="00ED566A">
      <w:pPr>
        <w:spacing w:line="360" w:lineRule="auto"/>
        <w:jc w:val="both"/>
      </w:pPr>
      <w:r>
        <w:t>Telefon: 042/749-383</w:t>
      </w:r>
    </w:p>
    <w:p w:rsidR="00DC500D" w:rsidRDefault="00DC500D" w:rsidP="00ED566A">
      <w:pPr>
        <w:spacing w:line="360" w:lineRule="auto"/>
        <w:jc w:val="both"/>
      </w:pPr>
    </w:p>
    <w:p w:rsidR="00DC500D" w:rsidRDefault="00DC500D" w:rsidP="00ED566A">
      <w:pPr>
        <w:spacing w:line="360" w:lineRule="auto"/>
        <w:jc w:val="both"/>
      </w:pPr>
    </w:p>
    <w:p w:rsidR="00ED566A" w:rsidRDefault="00ED566A" w:rsidP="00ED566A">
      <w:pPr>
        <w:spacing w:line="360" w:lineRule="auto"/>
        <w:jc w:val="both"/>
      </w:pPr>
    </w:p>
    <w:p w:rsidR="00ED566A" w:rsidRDefault="00ED566A" w:rsidP="00ED566A">
      <w:pPr>
        <w:spacing w:line="360" w:lineRule="auto"/>
        <w:jc w:val="both"/>
      </w:pPr>
    </w:p>
    <w:p w:rsidR="00ED566A" w:rsidRDefault="00ED566A" w:rsidP="00ED566A">
      <w:pPr>
        <w:spacing w:line="360" w:lineRule="auto"/>
        <w:jc w:val="both"/>
      </w:pPr>
    </w:p>
    <w:p w:rsidR="00DC500D" w:rsidRDefault="00DC500D" w:rsidP="00ED566A">
      <w:pPr>
        <w:spacing w:line="360" w:lineRule="auto"/>
        <w:jc w:val="both"/>
      </w:pPr>
    </w:p>
    <w:p w:rsidR="00DC500D" w:rsidRDefault="00DC500D" w:rsidP="00ED566A">
      <w:pPr>
        <w:spacing w:line="360" w:lineRule="auto"/>
        <w:jc w:val="both"/>
      </w:pPr>
      <w:r>
        <w:tab/>
      </w:r>
      <w:r>
        <w:tab/>
      </w:r>
      <w:r>
        <w:tab/>
      </w:r>
      <w:r>
        <w:tab/>
      </w:r>
      <w:r>
        <w:tab/>
      </w:r>
      <w:r>
        <w:tab/>
      </w:r>
      <w:r>
        <w:tab/>
      </w:r>
      <w:r>
        <w:tab/>
      </w:r>
    </w:p>
    <w:p w:rsidR="00DC500D" w:rsidRDefault="00DC500D" w:rsidP="00ED566A">
      <w:pPr>
        <w:spacing w:line="360" w:lineRule="auto"/>
        <w:jc w:val="both"/>
      </w:pPr>
      <w:r>
        <w:tab/>
      </w:r>
      <w:r>
        <w:tab/>
      </w:r>
      <w:r>
        <w:tab/>
      </w:r>
      <w:r>
        <w:tab/>
      </w:r>
      <w:r>
        <w:tab/>
      </w:r>
      <w:r>
        <w:tab/>
      </w:r>
      <w:r>
        <w:tab/>
      </w:r>
      <w:r>
        <w:tab/>
      </w:r>
      <w:r>
        <w:tab/>
        <w:t>Zakonski predstavnik:</w:t>
      </w:r>
    </w:p>
    <w:p w:rsidR="00DC500D" w:rsidRPr="007B17BC" w:rsidRDefault="00DC500D" w:rsidP="00ED566A">
      <w:pPr>
        <w:spacing w:line="360" w:lineRule="auto"/>
        <w:jc w:val="both"/>
      </w:pPr>
      <w:r>
        <w:tab/>
      </w:r>
      <w:r>
        <w:tab/>
      </w:r>
      <w:r>
        <w:tab/>
      </w:r>
      <w:r>
        <w:tab/>
      </w:r>
      <w:r>
        <w:tab/>
      </w:r>
      <w:r>
        <w:tab/>
      </w:r>
      <w:r>
        <w:tab/>
      </w:r>
      <w:r>
        <w:tab/>
      </w:r>
      <w:r>
        <w:tab/>
        <w:t xml:space="preserve">Nataša </w:t>
      </w:r>
      <w:proofErr w:type="spellStart"/>
      <w:r>
        <w:t>Fadiga</w:t>
      </w:r>
      <w:proofErr w:type="spellEnd"/>
      <w:r>
        <w:t xml:space="preserve">, </w:t>
      </w:r>
      <w:proofErr w:type="spellStart"/>
      <w:r>
        <w:t>mag</w:t>
      </w:r>
      <w:proofErr w:type="spellEnd"/>
      <w:r>
        <w:t xml:space="preserve">. inf. </w:t>
      </w:r>
    </w:p>
    <w:sectPr w:rsidR="00DC500D" w:rsidRPr="007B17BC" w:rsidSect="00ED566A">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010" w:rsidRDefault="001B0010" w:rsidP="00ED566A">
      <w:r>
        <w:separator/>
      </w:r>
    </w:p>
  </w:endnote>
  <w:endnote w:type="continuationSeparator" w:id="0">
    <w:p w:rsidR="001B0010" w:rsidRDefault="001B0010" w:rsidP="00ED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953559"/>
      <w:docPartObj>
        <w:docPartGallery w:val="Page Numbers (Bottom of Page)"/>
        <w:docPartUnique/>
      </w:docPartObj>
    </w:sdtPr>
    <w:sdtEndPr/>
    <w:sdtContent>
      <w:p w:rsidR="00ED566A" w:rsidRDefault="00ED566A">
        <w:pPr>
          <w:pStyle w:val="Podnoje"/>
          <w:jc w:val="center"/>
        </w:pPr>
        <w:r>
          <w:fldChar w:fldCharType="begin"/>
        </w:r>
        <w:r>
          <w:instrText>PAGE   \* MERGEFORMAT</w:instrText>
        </w:r>
        <w:r>
          <w:fldChar w:fldCharType="separate"/>
        </w:r>
        <w:r>
          <w:t>2</w:t>
        </w:r>
        <w:r>
          <w:fldChar w:fldCharType="end"/>
        </w:r>
      </w:p>
    </w:sdtContent>
  </w:sdt>
  <w:p w:rsidR="00ED566A" w:rsidRDefault="00ED56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010" w:rsidRDefault="001B0010" w:rsidP="00ED566A">
      <w:r>
        <w:separator/>
      </w:r>
    </w:p>
  </w:footnote>
  <w:footnote w:type="continuationSeparator" w:id="0">
    <w:p w:rsidR="001B0010" w:rsidRDefault="001B0010" w:rsidP="00ED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14E48"/>
    <w:multiLevelType w:val="hybridMultilevel"/>
    <w:tmpl w:val="0EDC7A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68"/>
    <w:rsid w:val="000A49C3"/>
    <w:rsid w:val="000D2A83"/>
    <w:rsid w:val="000F6497"/>
    <w:rsid w:val="001B0010"/>
    <w:rsid w:val="00211CBB"/>
    <w:rsid w:val="002447D7"/>
    <w:rsid w:val="00296406"/>
    <w:rsid w:val="002F0832"/>
    <w:rsid w:val="003A4C97"/>
    <w:rsid w:val="003B2FDC"/>
    <w:rsid w:val="003D4274"/>
    <w:rsid w:val="00443A4E"/>
    <w:rsid w:val="004540F4"/>
    <w:rsid w:val="004A619D"/>
    <w:rsid w:val="004F27EB"/>
    <w:rsid w:val="00504532"/>
    <w:rsid w:val="00504551"/>
    <w:rsid w:val="005251B4"/>
    <w:rsid w:val="005802A7"/>
    <w:rsid w:val="00597519"/>
    <w:rsid w:val="005D54F4"/>
    <w:rsid w:val="00783BDF"/>
    <w:rsid w:val="007939B8"/>
    <w:rsid w:val="007B17BC"/>
    <w:rsid w:val="007E2468"/>
    <w:rsid w:val="00807A80"/>
    <w:rsid w:val="00896EEA"/>
    <w:rsid w:val="008E2368"/>
    <w:rsid w:val="00935671"/>
    <w:rsid w:val="00A00AD3"/>
    <w:rsid w:val="00A948AE"/>
    <w:rsid w:val="00AC4AA0"/>
    <w:rsid w:val="00B72EA9"/>
    <w:rsid w:val="00C00C5F"/>
    <w:rsid w:val="00CC3163"/>
    <w:rsid w:val="00DC500D"/>
    <w:rsid w:val="00E85DD0"/>
    <w:rsid w:val="00EC44B5"/>
    <w:rsid w:val="00ED566A"/>
    <w:rsid w:val="00F73E1F"/>
    <w:rsid w:val="00F954E8"/>
    <w:rsid w:val="00FF5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CE43F6-D4A1-49A7-BF36-62098259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46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E2468"/>
    <w:pPr>
      <w:ind w:left="720"/>
      <w:contextualSpacing/>
    </w:pPr>
  </w:style>
  <w:style w:type="table" w:styleId="Reetkatablice">
    <w:name w:val="Table Grid"/>
    <w:basedOn w:val="Obinatablica"/>
    <w:uiPriority w:val="39"/>
    <w:rsid w:val="00F7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D566A"/>
    <w:pPr>
      <w:tabs>
        <w:tab w:val="center" w:pos="4536"/>
        <w:tab w:val="right" w:pos="9072"/>
      </w:tabs>
    </w:pPr>
  </w:style>
  <w:style w:type="character" w:customStyle="1" w:styleId="ZaglavljeChar">
    <w:name w:val="Zaglavlje Char"/>
    <w:basedOn w:val="Zadanifontodlomka"/>
    <w:link w:val="Zaglavlje"/>
    <w:uiPriority w:val="99"/>
    <w:rsid w:val="00ED566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D566A"/>
    <w:pPr>
      <w:tabs>
        <w:tab w:val="center" w:pos="4536"/>
        <w:tab w:val="right" w:pos="9072"/>
      </w:tabs>
    </w:pPr>
  </w:style>
  <w:style w:type="character" w:customStyle="1" w:styleId="PodnojeChar">
    <w:name w:val="Podnožje Char"/>
    <w:basedOn w:val="Zadanifontodlomka"/>
    <w:link w:val="Podnoje"/>
    <w:uiPriority w:val="99"/>
    <w:rsid w:val="00ED566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2019</Words>
  <Characters>11510</Characters>
  <Application>Microsoft Office Word</Application>
  <DocSecurity>0</DocSecurity>
  <Lines>95</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2025-01-30T12:56:00Z</dcterms:created>
  <dcterms:modified xsi:type="dcterms:W3CDTF">2025-01-30T12:56:00Z</dcterms:modified>
</cp:coreProperties>
</file>