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0B3" w:rsidRPr="005850B3" w:rsidRDefault="005850B3" w:rsidP="005850B3">
      <w:pPr>
        <w:jc w:val="center"/>
        <w:rPr>
          <w:rFonts w:ascii="Arial" w:hAnsi="Arial" w:cs="Arial"/>
          <w:b/>
          <w:sz w:val="32"/>
        </w:rPr>
      </w:pPr>
      <w:r w:rsidRPr="005850B3">
        <w:rPr>
          <w:rFonts w:ascii="Arial" w:hAnsi="Arial" w:cs="Arial"/>
          <w:b/>
          <w:sz w:val="32"/>
        </w:rPr>
        <w:t xml:space="preserve">OSNOVNA ŠKOLA BELETINEC </w:t>
      </w:r>
    </w:p>
    <w:p w:rsidR="005850B3" w:rsidRPr="005850B3" w:rsidRDefault="005850B3" w:rsidP="005850B3">
      <w:pPr>
        <w:jc w:val="center"/>
        <w:rPr>
          <w:rFonts w:ascii="Arial" w:hAnsi="Arial" w:cs="Arial"/>
          <w:b/>
          <w:sz w:val="24"/>
        </w:rPr>
      </w:pPr>
    </w:p>
    <w:p w:rsidR="005850B3" w:rsidRPr="005850B3" w:rsidRDefault="005850B3" w:rsidP="005850B3">
      <w:pPr>
        <w:jc w:val="center"/>
        <w:rPr>
          <w:rFonts w:ascii="Arial" w:hAnsi="Arial" w:cs="Arial"/>
          <w:b/>
          <w:sz w:val="24"/>
        </w:rPr>
      </w:pPr>
    </w:p>
    <w:p w:rsidR="005850B3" w:rsidRPr="005850B3" w:rsidRDefault="005850B3" w:rsidP="005850B3">
      <w:pPr>
        <w:jc w:val="center"/>
        <w:rPr>
          <w:rFonts w:ascii="Arial" w:hAnsi="Arial" w:cs="Arial"/>
          <w:b/>
          <w:sz w:val="24"/>
        </w:rPr>
      </w:pPr>
    </w:p>
    <w:p w:rsidR="005850B3" w:rsidRPr="005850B3" w:rsidRDefault="005850B3" w:rsidP="005850B3">
      <w:pPr>
        <w:jc w:val="center"/>
        <w:rPr>
          <w:rFonts w:ascii="Arial" w:hAnsi="Arial" w:cs="Arial"/>
          <w:b/>
          <w:sz w:val="24"/>
        </w:rPr>
      </w:pPr>
    </w:p>
    <w:p w:rsidR="005850B3" w:rsidRPr="005850B3" w:rsidRDefault="005850B3" w:rsidP="005850B3">
      <w:pPr>
        <w:jc w:val="center"/>
        <w:rPr>
          <w:rFonts w:ascii="Arial" w:hAnsi="Arial" w:cs="Arial"/>
          <w:b/>
          <w:sz w:val="24"/>
        </w:rPr>
      </w:pPr>
    </w:p>
    <w:p w:rsidR="005850B3" w:rsidRPr="005850B3" w:rsidRDefault="005850B3" w:rsidP="005850B3">
      <w:pPr>
        <w:jc w:val="center"/>
        <w:rPr>
          <w:rFonts w:ascii="Arial" w:hAnsi="Arial" w:cs="Arial"/>
          <w:b/>
          <w:sz w:val="24"/>
        </w:rPr>
      </w:pPr>
    </w:p>
    <w:p w:rsidR="005850B3" w:rsidRPr="005850B3" w:rsidRDefault="005850B3" w:rsidP="005850B3">
      <w:pPr>
        <w:jc w:val="center"/>
        <w:rPr>
          <w:rFonts w:ascii="Arial" w:hAnsi="Arial" w:cs="Arial"/>
          <w:b/>
          <w:sz w:val="24"/>
        </w:rPr>
      </w:pPr>
    </w:p>
    <w:p w:rsidR="005850B3" w:rsidRPr="005850B3" w:rsidRDefault="005850B3" w:rsidP="005850B3">
      <w:pPr>
        <w:jc w:val="center"/>
        <w:rPr>
          <w:rFonts w:ascii="Arial" w:hAnsi="Arial" w:cs="Arial"/>
          <w:b/>
          <w:sz w:val="24"/>
        </w:rPr>
      </w:pPr>
    </w:p>
    <w:p w:rsidR="005850B3" w:rsidRPr="005850B3" w:rsidRDefault="005850B3" w:rsidP="005850B3">
      <w:pPr>
        <w:jc w:val="center"/>
        <w:rPr>
          <w:rFonts w:ascii="Arial" w:hAnsi="Arial" w:cs="Arial"/>
          <w:b/>
          <w:sz w:val="44"/>
        </w:rPr>
      </w:pPr>
      <w:r w:rsidRPr="005850B3">
        <w:rPr>
          <w:rFonts w:ascii="Arial" w:hAnsi="Arial" w:cs="Arial"/>
          <w:b/>
          <w:sz w:val="44"/>
        </w:rPr>
        <w:t xml:space="preserve">       OBRAZLOŽENJE OPĆEG DIJELA</w:t>
      </w:r>
    </w:p>
    <w:p w:rsidR="005850B3" w:rsidRPr="005850B3" w:rsidRDefault="005850B3" w:rsidP="005850B3">
      <w:pPr>
        <w:jc w:val="center"/>
        <w:rPr>
          <w:rFonts w:ascii="Arial" w:hAnsi="Arial" w:cs="Arial"/>
          <w:b/>
          <w:sz w:val="44"/>
        </w:rPr>
      </w:pPr>
    </w:p>
    <w:p w:rsidR="00FA3393" w:rsidRDefault="005850B3" w:rsidP="005850B3">
      <w:pPr>
        <w:pStyle w:val="Odlomakpopisa"/>
        <w:ind w:left="1080"/>
        <w:jc w:val="center"/>
        <w:rPr>
          <w:rFonts w:ascii="Arial" w:hAnsi="Arial" w:cs="Arial"/>
          <w:b/>
          <w:sz w:val="44"/>
        </w:rPr>
      </w:pPr>
      <w:r w:rsidRPr="005850B3">
        <w:rPr>
          <w:rFonts w:ascii="Arial" w:hAnsi="Arial" w:cs="Arial"/>
          <w:b/>
          <w:sz w:val="44"/>
        </w:rPr>
        <w:t>I. IZM</w:t>
      </w:r>
      <w:r w:rsidR="00467829">
        <w:rPr>
          <w:rFonts w:ascii="Arial" w:hAnsi="Arial" w:cs="Arial"/>
          <w:b/>
          <w:sz w:val="44"/>
        </w:rPr>
        <w:t>JE</w:t>
      </w:r>
      <w:r w:rsidRPr="005850B3">
        <w:rPr>
          <w:rFonts w:ascii="Arial" w:hAnsi="Arial" w:cs="Arial"/>
          <w:b/>
          <w:sz w:val="44"/>
        </w:rPr>
        <w:t>NA I DOPUNA FINANCIJSKOG PLANA OSNOVNE ŠKOLE BELETINEC</w:t>
      </w:r>
    </w:p>
    <w:p w:rsidR="003A2D3B" w:rsidRDefault="005850B3" w:rsidP="005850B3">
      <w:pPr>
        <w:pStyle w:val="Odlomakpopisa"/>
        <w:ind w:left="1080"/>
        <w:jc w:val="center"/>
        <w:rPr>
          <w:rFonts w:ascii="Arial" w:hAnsi="Arial" w:cs="Arial"/>
          <w:sz w:val="44"/>
        </w:rPr>
      </w:pPr>
      <w:r w:rsidRPr="005850B3">
        <w:rPr>
          <w:rFonts w:ascii="Arial" w:hAnsi="Arial" w:cs="Arial"/>
          <w:b/>
          <w:sz w:val="44"/>
        </w:rPr>
        <w:t xml:space="preserve"> ZA 202</w:t>
      </w:r>
      <w:r w:rsidR="0065154C">
        <w:rPr>
          <w:rFonts w:ascii="Arial" w:hAnsi="Arial" w:cs="Arial"/>
          <w:b/>
          <w:sz w:val="44"/>
        </w:rPr>
        <w:t>5</w:t>
      </w:r>
      <w:r w:rsidRPr="005850B3">
        <w:rPr>
          <w:rFonts w:ascii="Arial" w:hAnsi="Arial" w:cs="Arial"/>
          <w:b/>
          <w:sz w:val="44"/>
        </w:rPr>
        <w:t>. GODINU</w:t>
      </w:r>
      <w:r w:rsidRPr="005850B3">
        <w:rPr>
          <w:rFonts w:ascii="Arial" w:hAnsi="Arial" w:cs="Arial"/>
          <w:sz w:val="44"/>
        </w:rPr>
        <w:t xml:space="preserve"> </w:t>
      </w:r>
    </w:p>
    <w:p w:rsidR="003A2D3B" w:rsidRDefault="003A2D3B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62103585"/>
        <w:docPartObj>
          <w:docPartGallery w:val="Table of Contents"/>
          <w:docPartUnique/>
        </w:docPartObj>
      </w:sdtPr>
      <w:sdtEndPr/>
      <w:sdtContent>
        <w:p w:rsidR="001334A0" w:rsidRDefault="001334A0">
          <w:pPr>
            <w:pStyle w:val="TOCNaslov"/>
          </w:pPr>
          <w:r>
            <w:t>Sadržaj</w:t>
          </w:r>
        </w:p>
        <w:p w:rsidR="001334A0" w:rsidRDefault="001334A0">
          <w:pPr>
            <w:pStyle w:val="Sadraj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145248" w:history="1">
            <w:r w:rsidRPr="006B2E42">
              <w:rPr>
                <w:rStyle w:val="Hiperveza"/>
                <w:rFonts w:ascii="Arial" w:hAnsi="Arial" w:cs="Arial"/>
                <w:noProof/>
              </w:rPr>
              <w:t>1.</w:t>
            </w:r>
            <w:r>
              <w:rPr>
                <w:noProof/>
              </w:rPr>
              <w:tab/>
            </w:r>
            <w:r w:rsidRPr="006B2E42">
              <w:rPr>
                <w:rStyle w:val="Hiperveza"/>
                <w:rFonts w:ascii="Arial" w:hAnsi="Arial" w:cs="Arial"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_Toc207145248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15D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34A0" w:rsidRDefault="008462AA">
          <w:pPr>
            <w:pStyle w:val="Sadraj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207145249" w:history="1">
            <w:r w:rsidR="001334A0" w:rsidRPr="006B2E42">
              <w:rPr>
                <w:rStyle w:val="Hiperveza"/>
                <w:rFonts w:ascii="Arial" w:hAnsi="Arial" w:cs="Arial"/>
                <w:noProof/>
              </w:rPr>
              <w:t>2.</w:t>
            </w:r>
            <w:r w:rsidR="001334A0">
              <w:rPr>
                <w:noProof/>
              </w:rPr>
              <w:tab/>
            </w:r>
            <w:r w:rsidR="001334A0" w:rsidRPr="006B2E42">
              <w:rPr>
                <w:rStyle w:val="Hiperveza"/>
                <w:rFonts w:ascii="Arial" w:hAnsi="Arial" w:cs="Arial"/>
                <w:noProof/>
              </w:rPr>
              <w:t>PRIHODI I PRIMICI</w:t>
            </w:r>
            <w:r w:rsidR="001334A0">
              <w:rPr>
                <w:noProof/>
                <w:webHidden/>
              </w:rPr>
              <w:tab/>
            </w:r>
            <w:r w:rsidR="001334A0">
              <w:rPr>
                <w:noProof/>
                <w:webHidden/>
              </w:rPr>
              <w:fldChar w:fldCharType="begin"/>
            </w:r>
            <w:r w:rsidR="001334A0">
              <w:rPr>
                <w:noProof/>
                <w:webHidden/>
              </w:rPr>
              <w:instrText xml:space="preserve"> PAGEREF _Toc207145249 \h </w:instrText>
            </w:r>
            <w:r w:rsidR="001334A0">
              <w:rPr>
                <w:noProof/>
                <w:webHidden/>
              </w:rPr>
            </w:r>
            <w:r w:rsidR="001334A0">
              <w:rPr>
                <w:noProof/>
                <w:webHidden/>
              </w:rPr>
              <w:fldChar w:fldCharType="separate"/>
            </w:r>
            <w:r w:rsidR="00E015DF">
              <w:rPr>
                <w:noProof/>
                <w:webHidden/>
              </w:rPr>
              <w:t>4</w:t>
            </w:r>
            <w:r w:rsidR="001334A0">
              <w:rPr>
                <w:noProof/>
                <w:webHidden/>
              </w:rPr>
              <w:fldChar w:fldCharType="end"/>
            </w:r>
          </w:hyperlink>
        </w:p>
        <w:p w:rsidR="001334A0" w:rsidRDefault="008462AA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207145250" w:history="1">
            <w:r w:rsidR="001334A0" w:rsidRPr="006B2E42">
              <w:rPr>
                <w:rStyle w:val="Hiperveza"/>
                <w:rFonts w:ascii="Arial" w:hAnsi="Arial" w:cs="Arial"/>
                <w:noProof/>
              </w:rPr>
              <w:t>2.1 PRIHODI I PRIMICI PREMA EKONOMSKOJ KLASIFIKACIJI</w:t>
            </w:r>
            <w:r w:rsidR="001334A0">
              <w:rPr>
                <w:noProof/>
                <w:webHidden/>
              </w:rPr>
              <w:tab/>
            </w:r>
            <w:r w:rsidR="001334A0">
              <w:rPr>
                <w:noProof/>
                <w:webHidden/>
              </w:rPr>
              <w:fldChar w:fldCharType="begin"/>
            </w:r>
            <w:r w:rsidR="001334A0">
              <w:rPr>
                <w:noProof/>
                <w:webHidden/>
              </w:rPr>
              <w:instrText xml:space="preserve"> PAGEREF _Toc207145250 \h </w:instrText>
            </w:r>
            <w:r w:rsidR="001334A0">
              <w:rPr>
                <w:noProof/>
                <w:webHidden/>
              </w:rPr>
            </w:r>
            <w:r w:rsidR="001334A0">
              <w:rPr>
                <w:noProof/>
                <w:webHidden/>
              </w:rPr>
              <w:fldChar w:fldCharType="separate"/>
            </w:r>
            <w:r w:rsidR="00E015DF">
              <w:rPr>
                <w:noProof/>
                <w:webHidden/>
              </w:rPr>
              <w:t>4</w:t>
            </w:r>
            <w:r w:rsidR="001334A0">
              <w:rPr>
                <w:noProof/>
                <w:webHidden/>
              </w:rPr>
              <w:fldChar w:fldCharType="end"/>
            </w:r>
          </w:hyperlink>
        </w:p>
        <w:p w:rsidR="001334A0" w:rsidRDefault="008462AA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207145251" w:history="1">
            <w:r w:rsidR="001334A0" w:rsidRPr="006B2E42">
              <w:rPr>
                <w:rStyle w:val="Hiperveza"/>
                <w:rFonts w:ascii="Arial" w:hAnsi="Arial" w:cs="Arial"/>
                <w:noProof/>
              </w:rPr>
              <w:t>2.2 PRIHODI I PRIMICI PREMA IZVORIMA FINANCIRANJA</w:t>
            </w:r>
            <w:r w:rsidR="001334A0">
              <w:rPr>
                <w:noProof/>
                <w:webHidden/>
              </w:rPr>
              <w:tab/>
            </w:r>
            <w:r w:rsidR="001334A0">
              <w:rPr>
                <w:noProof/>
                <w:webHidden/>
              </w:rPr>
              <w:fldChar w:fldCharType="begin"/>
            </w:r>
            <w:r w:rsidR="001334A0">
              <w:rPr>
                <w:noProof/>
                <w:webHidden/>
              </w:rPr>
              <w:instrText xml:space="preserve"> PAGEREF _Toc207145251 \h </w:instrText>
            </w:r>
            <w:r w:rsidR="001334A0">
              <w:rPr>
                <w:noProof/>
                <w:webHidden/>
              </w:rPr>
            </w:r>
            <w:r w:rsidR="001334A0">
              <w:rPr>
                <w:noProof/>
                <w:webHidden/>
              </w:rPr>
              <w:fldChar w:fldCharType="separate"/>
            </w:r>
            <w:r w:rsidR="00E015DF">
              <w:rPr>
                <w:noProof/>
                <w:webHidden/>
              </w:rPr>
              <w:t>6</w:t>
            </w:r>
            <w:r w:rsidR="001334A0">
              <w:rPr>
                <w:noProof/>
                <w:webHidden/>
              </w:rPr>
              <w:fldChar w:fldCharType="end"/>
            </w:r>
          </w:hyperlink>
        </w:p>
        <w:p w:rsidR="001334A0" w:rsidRDefault="008462AA">
          <w:pPr>
            <w:pStyle w:val="Sadraj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207145252" w:history="1">
            <w:r w:rsidR="001334A0" w:rsidRPr="006B2E42">
              <w:rPr>
                <w:rStyle w:val="Hiperveza"/>
                <w:rFonts w:ascii="Arial" w:hAnsi="Arial" w:cs="Arial"/>
                <w:noProof/>
              </w:rPr>
              <w:t>3.</w:t>
            </w:r>
            <w:r w:rsidR="001334A0">
              <w:rPr>
                <w:noProof/>
              </w:rPr>
              <w:tab/>
            </w:r>
            <w:r w:rsidR="001334A0" w:rsidRPr="006B2E42">
              <w:rPr>
                <w:rStyle w:val="Hiperveza"/>
                <w:rFonts w:ascii="Arial" w:hAnsi="Arial" w:cs="Arial"/>
                <w:noProof/>
              </w:rPr>
              <w:t>RASHODI I IZDACI</w:t>
            </w:r>
            <w:r w:rsidR="001334A0">
              <w:rPr>
                <w:noProof/>
                <w:webHidden/>
              </w:rPr>
              <w:tab/>
            </w:r>
            <w:r w:rsidR="001334A0">
              <w:rPr>
                <w:noProof/>
                <w:webHidden/>
              </w:rPr>
              <w:fldChar w:fldCharType="begin"/>
            </w:r>
            <w:r w:rsidR="001334A0">
              <w:rPr>
                <w:noProof/>
                <w:webHidden/>
              </w:rPr>
              <w:instrText xml:space="preserve"> PAGEREF _Toc207145252 \h </w:instrText>
            </w:r>
            <w:r w:rsidR="001334A0">
              <w:rPr>
                <w:noProof/>
                <w:webHidden/>
              </w:rPr>
            </w:r>
            <w:r w:rsidR="001334A0">
              <w:rPr>
                <w:noProof/>
                <w:webHidden/>
              </w:rPr>
              <w:fldChar w:fldCharType="separate"/>
            </w:r>
            <w:r w:rsidR="00E015DF">
              <w:rPr>
                <w:noProof/>
                <w:webHidden/>
              </w:rPr>
              <w:t>9</w:t>
            </w:r>
            <w:r w:rsidR="001334A0">
              <w:rPr>
                <w:noProof/>
                <w:webHidden/>
              </w:rPr>
              <w:fldChar w:fldCharType="end"/>
            </w:r>
          </w:hyperlink>
        </w:p>
        <w:p w:rsidR="001334A0" w:rsidRDefault="008462AA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207145253" w:history="1">
            <w:r w:rsidR="001334A0" w:rsidRPr="006B2E42">
              <w:rPr>
                <w:rStyle w:val="Hiperveza"/>
                <w:rFonts w:ascii="Arial" w:hAnsi="Arial" w:cs="Arial"/>
                <w:noProof/>
              </w:rPr>
              <w:t>3.1 RASHODI POSLOVANJA</w:t>
            </w:r>
            <w:r w:rsidR="001334A0">
              <w:rPr>
                <w:noProof/>
                <w:webHidden/>
              </w:rPr>
              <w:tab/>
            </w:r>
            <w:r w:rsidR="001334A0">
              <w:rPr>
                <w:noProof/>
                <w:webHidden/>
              </w:rPr>
              <w:fldChar w:fldCharType="begin"/>
            </w:r>
            <w:r w:rsidR="001334A0">
              <w:rPr>
                <w:noProof/>
                <w:webHidden/>
              </w:rPr>
              <w:instrText xml:space="preserve"> PAGEREF _Toc207145253 \h </w:instrText>
            </w:r>
            <w:r w:rsidR="001334A0">
              <w:rPr>
                <w:noProof/>
                <w:webHidden/>
              </w:rPr>
            </w:r>
            <w:r w:rsidR="001334A0">
              <w:rPr>
                <w:noProof/>
                <w:webHidden/>
              </w:rPr>
              <w:fldChar w:fldCharType="separate"/>
            </w:r>
            <w:r w:rsidR="00E015DF">
              <w:rPr>
                <w:noProof/>
                <w:webHidden/>
              </w:rPr>
              <w:t>9</w:t>
            </w:r>
            <w:r w:rsidR="001334A0">
              <w:rPr>
                <w:noProof/>
                <w:webHidden/>
              </w:rPr>
              <w:fldChar w:fldCharType="end"/>
            </w:r>
          </w:hyperlink>
        </w:p>
        <w:p w:rsidR="001334A0" w:rsidRDefault="008462AA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207145254" w:history="1">
            <w:r w:rsidR="001334A0" w:rsidRPr="006B2E42">
              <w:rPr>
                <w:rStyle w:val="Hiperveza"/>
                <w:rFonts w:ascii="Arial" w:hAnsi="Arial" w:cs="Arial"/>
                <w:noProof/>
              </w:rPr>
              <w:t>3.2 RASHODI ZA NABAVU NEFINANCIJSKE IMOVINE</w:t>
            </w:r>
            <w:r w:rsidR="001334A0">
              <w:rPr>
                <w:noProof/>
                <w:webHidden/>
              </w:rPr>
              <w:tab/>
            </w:r>
            <w:r w:rsidR="001334A0">
              <w:rPr>
                <w:noProof/>
                <w:webHidden/>
              </w:rPr>
              <w:fldChar w:fldCharType="begin"/>
            </w:r>
            <w:r w:rsidR="001334A0">
              <w:rPr>
                <w:noProof/>
                <w:webHidden/>
              </w:rPr>
              <w:instrText xml:space="preserve"> PAGEREF _Toc207145254 \h </w:instrText>
            </w:r>
            <w:r w:rsidR="001334A0">
              <w:rPr>
                <w:noProof/>
                <w:webHidden/>
              </w:rPr>
            </w:r>
            <w:r w:rsidR="001334A0">
              <w:rPr>
                <w:noProof/>
                <w:webHidden/>
              </w:rPr>
              <w:fldChar w:fldCharType="separate"/>
            </w:r>
            <w:r w:rsidR="00E015DF">
              <w:rPr>
                <w:noProof/>
                <w:webHidden/>
              </w:rPr>
              <w:t>11</w:t>
            </w:r>
            <w:r w:rsidR="001334A0">
              <w:rPr>
                <w:noProof/>
                <w:webHidden/>
              </w:rPr>
              <w:fldChar w:fldCharType="end"/>
            </w:r>
          </w:hyperlink>
        </w:p>
        <w:p w:rsidR="001334A0" w:rsidRDefault="008462AA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207145255" w:history="1">
            <w:r w:rsidR="001334A0" w:rsidRPr="006B2E42">
              <w:rPr>
                <w:rStyle w:val="Hiperveza"/>
                <w:rFonts w:ascii="Arial" w:hAnsi="Arial" w:cs="Arial"/>
                <w:noProof/>
              </w:rPr>
              <w:t>3.3 RASHODI PREMA IZVORIMA FINANCIRANJA</w:t>
            </w:r>
            <w:r w:rsidR="001334A0">
              <w:rPr>
                <w:noProof/>
                <w:webHidden/>
              </w:rPr>
              <w:tab/>
            </w:r>
            <w:r w:rsidR="001334A0">
              <w:rPr>
                <w:noProof/>
                <w:webHidden/>
              </w:rPr>
              <w:fldChar w:fldCharType="begin"/>
            </w:r>
            <w:r w:rsidR="001334A0">
              <w:rPr>
                <w:noProof/>
                <w:webHidden/>
              </w:rPr>
              <w:instrText xml:space="preserve"> PAGEREF _Toc207145255 \h </w:instrText>
            </w:r>
            <w:r w:rsidR="001334A0">
              <w:rPr>
                <w:noProof/>
                <w:webHidden/>
              </w:rPr>
            </w:r>
            <w:r w:rsidR="001334A0">
              <w:rPr>
                <w:noProof/>
                <w:webHidden/>
              </w:rPr>
              <w:fldChar w:fldCharType="separate"/>
            </w:r>
            <w:r w:rsidR="00E015DF">
              <w:rPr>
                <w:noProof/>
                <w:webHidden/>
              </w:rPr>
              <w:t>12</w:t>
            </w:r>
            <w:r w:rsidR="001334A0">
              <w:rPr>
                <w:noProof/>
                <w:webHidden/>
              </w:rPr>
              <w:fldChar w:fldCharType="end"/>
            </w:r>
          </w:hyperlink>
        </w:p>
        <w:p w:rsidR="001334A0" w:rsidRDefault="001334A0">
          <w:r>
            <w:fldChar w:fldCharType="end"/>
          </w:r>
        </w:p>
      </w:sdtContent>
    </w:sdt>
    <w:p w:rsidR="005850B3" w:rsidRPr="005850B3" w:rsidRDefault="005850B3" w:rsidP="005850B3">
      <w:pPr>
        <w:pStyle w:val="Odlomakpopisa"/>
        <w:ind w:left="1080"/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5850B3">
        <w:rPr>
          <w:rFonts w:ascii="Arial" w:hAnsi="Arial" w:cs="Arial"/>
          <w:sz w:val="24"/>
        </w:rPr>
        <w:br w:type="page"/>
      </w:r>
    </w:p>
    <w:p w:rsidR="00F3668E" w:rsidRPr="003A2D3B" w:rsidRDefault="004C4547" w:rsidP="003A2D3B">
      <w:pPr>
        <w:pStyle w:val="Naslov1"/>
        <w:numPr>
          <w:ilvl w:val="0"/>
          <w:numId w:val="7"/>
        </w:numPr>
        <w:rPr>
          <w:rFonts w:ascii="Arial" w:hAnsi="Arial" w:cs="Arial"/>
        </w:rPr>
      </w:pPr>
      <w:bookmarkStart w:id="1" w:name="_Toc207145248"/>
      <w:r w:rsidRPr="003A2D3B">
        <w:rPr>
          <w:rFonts w:ascii="Arial" w:hAnsi="Arial" w:cs="Arial"/>
        </w:rPr>
        <w:lastRenderedPageBreak/>
        <w:t>UVOD</w:t>
      </w:r>
      <w:bookmarkEnd w:id="1"/>
    </w:p>
    <w:p w:rsidR="004C4547" w:rsidRDefault="004C4547" w:rsidP="004C4547">
      <w:pPr>
        <w:spacing w:after="0" w:line="360" w:lineRule="auto"/>
        <w:ind w:left="360"/>
        <w:jc w:val="both"/>
        <w:rPr>
          <w:rFonts w:ascii="Arial" w:hAnsi="Arial" w:cs="Arial"/>
          <w:sz w:val="24"/>
        </w:rPr>
      </w:pPr>
    </w:p>
    <w:p w:rsidR="004C4547" w:rsidRPr="00D215F9" w:rsidRDefault="004C4547" w:rsidP="004C4547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 w:rsidRPr="00D215F9">
        <w:rPr>
          <w:rFonts w:ascii="Arial" w:hAnsi="Arial" w:cs="Arial"/>
          <w:b/>
          <w:i/>
          <w:sz w:val="24"/>
        </w:rPr>
        <w:t>Financijski plan Osnovne škole Beletinec za 202</w:t>
      </w:r>
      <w:r w:rsidR="0065154C" w:rsidRPr="00D215F9">
        <w:rPr>
          <w:rFonts w:ascii="Arial" w:hAnsi="Arial" w:cs="Arial"/>
          <w:b/>
          <w:i/>
          <w:sz w:val="24"/>
        </w:rPr>
        <w:t>5</w:t>
      </w:r>
      <w:r w:rsidRPr="00D215F9">
        <w:rPr>
          <w:rFonts w:ascii="Arial" w:hAnsi="Arial" w:cs="Arial"/>
          <w:b/>
          <w:i/>
          <w:sz w:val="24"/>
        </w:rPr>
        <w:t>. godinu</w:t>
      </w:r>
      <w:r w:rsidR="0065154C" w:rsidRPr="00D215F9">
        <w:rPr>
          <w:rFonts w:ascii="Arial" w:hAnsi="Arial" w:cs="Arial"/>
          <w:sz w:val="24"/>
        </w:rPr>
        <w:t xml:space="preserve"> </w:t>
      </w:r>
      <w:r w:rsidR="0065154C" w:rsidRPr="00D215F9">
        <w:rPr>
          <w:rFonts w:ascii="Arial" w:hAnsi="Arial" w:cs="Arial"/>
          <w:b/>
          <w:i/>
          <w:sz w:val="24"/>
        </w:rPr>
        <w:t xml:space="preserve">i projekcije za 2026. i 2027. godinu </w:t>
      </w:r>
      <w:r w:rsidRPr="00D215F9">
        <w:rPr>
          <w:rFonts w:ascii="Arial" w:hAnsi="Arial" w:cs="Arial"/>
          <w:sz w:val="24"/>
        </w:rPr>
        <w:t xml:space="preserve">usvojen je </w:t>
      </w:r>
      <w:r w:rsidR="00D215F9" w:rsidRPr="00D215F9">
        <w:rPr>
          <w:rFonts w:ascii="Arial" w:hAnsi="Arial" w:cs="Arial"/>
          <w:sz w:val="24"/>
        </w:rPr>
        <w:t>18. prosinca</w:t>
      </w:r>
      <w:r w:rsidR="0065154C" w:rsidRPr="00D215F9">
        <w:rPr>
          <w:rFonts w:ascii="Arial" w:hAnsi="Arial" w:cs="Arial"/>
          <w:sz w:val="24"/>
        </w:rPr>
        <w:t xml:space="preserve"> 2024. godine </w:t>
      </w:r>
      <w:r w:rsidRPr="00D215F9">
        <w:rPr>
          <w:rFonts w:ascii="Arial" w:hAnsi="Arial" w:cs="Arial"/>
          <w:sz w:val="24"/>
        </w:rPr>
        <w:t xml:space="preserve">u iznosu od </w:t>
      </w:r>
      <w:r w:rsidR="0065154C" w:rsidRPr="00D215F9">
        <w:rPr>
          <w:rFonts w:ascii="Arial" w:hAnsi="Arial" w:cs="Arial"/>
          <w:sz w:val="24"/>
        </w:rPr>
        <w:t>750.480,00</w:t>
      </w:r>
      <w:r w:rsidRPr="00D215F9">
        <w:rPr>
          <w:rFonts w:ascii="Arial" w:hAnsi="Arial" w:cs="Arial"/>
          <w:sz w:val="24"/>
        </w:rPr>
        <w:t xml:space="preserve"> eura, a objavljen </w:t>
      </w:r>
      <w:r w:rsidR="008828E7" w:rsidRPr="00D215F9">
        <w:rPr>
          <w:rFonts w:ascii="Arial" w:hAnsi="Arial" w:cs="Arial"/>
          <w:sz w:val="24"/>
        </w:rPr>
        <w:t xml:space="preserve">je </w:t>
      </w:r>
      <w:r w:rsidRPr="00D215F9">
        <w:rPr>
          <w:rFonts w:ascii="Arial" w:hAnsi="Arial" w:cs="Arial"/>
          <w:sz w:val="24"/>
        </w:rPr>
        <w:t>na mrežnim stranicama škol</w:t>
      </w:r>
      <w:r w:rsidR="008828E7" w:rsidRPr="00D215F9">
        <w:rPr>
          <w:rFonts w:ascii="Arial" w:hAnsi="Arial" w:cs="Arial"/>
          <w:sz w:val="24"/>
        </w:rPr>
        <w:t>e.</w:t>
      </w:r>
    </w:p>
    <w:p w:rsidR="008828E7" w:rsidRDefault="008828E7" w:rsidP="004C4547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Zakonom o proračunu („Narodne novine“ br. 144/21), člankom 46. stavkom 1. propisano je da se izmjenama i dopunama financijskog plana mijenja isključivo usvojeni plan za tekuću proračunsku godinu, a stavkom 2. istog članka utvrđeno da se na postupak donošenja izmjena i dopuna financijskog plana na odgovarajući način primjenjuju odredbe Zakona o proračunu kojima je određen postupak donošenja financijskog plana. </w:t>
      </w:r>
    </w:p>
    <w:p w:rsidR="008828E7" w:rsidRDefault="008828E7" w:rsidP="004C4547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Izmjene i dopune financijskog plana Osnovne škole Beletinec za 202</w:t>
      </w:r>
      <w:r w:rsidR="0065154C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. godinu izrađuje se zbog potrebe uravnoteženja prihoda po izvorima financiranja kao i rashoda kroz aktivnosti i projekte koji su vezani uz te izvore financiranje te uključivanja rezultata poslovanja (višak/manjak) iz 202</w:t>
      </w:r>
      <w:r w:rsidR="0065154C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. godine. </w:t>
      </w:r>
    </w:p>
    <w:p w:rsidR="00C8195C" w:rsidRDefault="00C8195C" w:rsidP="004C4547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Ovim I. izmjenama i dopunama financijskog plana predlaže se povećanje sredstava financijskog plana za </w:t>
      </w:r>
      <w:r w:rsidR="0065154C">
        <w:rPr>
          <w:rFonts w:ascii="Arial" w:hAnsi="Arial" w:cs="Arial"/>
          <w:sz w:val="24"/>
        </w:rPr>
        <w:t>49.932</w:t>
      </w:r>
      <w:r>
        <w:rPr>
          <w:rFonts w:ascii="Arial" w:hAnsi="Arial" w:cs="Arial"/>
          <w:sz w:val="24"/>
        </w:rPr>
        <w:t xml:space="preserve">,00 eura, odnosno za </w:t>
      </w:r>
      <w:r w:rsidR="0065154C">
        <w:rPr>
          <w:rFonts w:ascii="Arial" w:hAnsi="Arial" w:cs="Arial"/>
          <w:sz w:val="24"/>
        </w:rPr>
        <w:t>6,65</w:t>
      </w:r>
      <w:r>
        <w:rPr>
          <w:rFonts w:ascii="Arial" w:hAnsi="Arial" w:cs="Arial"/>
          <w:sz w:val="24"/>
        </w:rPr>
        <w:t xml:space="preserve">% te iznosi </w:t>
      </w:r>
      <w:r w:rsidR="0065154C">
        <w:rPr>
          <w:rFonts w:ascii="Arial" w:hAnsi="Arial" w:cs="Arial"/>
          <w:sz w:val="24"/>
        </w:rPr>
        <w:t>800.412,00</w:t>
      </w:r>
      <w:r>
        <w:rPr>
          <w:rFonts w:ascii="Arial" w:hAnsi="Arial" w:cs="Arial"/>
          <w:sz w:val="24"/>
        </w:rPr>
        <w:t xml:space="preserve"> eura.</w:t>
      </w:r>
    </w:p>
    <w:p w:rsidR="00C8195C" w:rsidRDefault="00C8195C" w:rsidP="004C4547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</w:p>
    <w:p w:rsidR="00C8195C" w:rsidRDefault="00C8195C" w:rsidP="004C4547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 w:rsidRPr="00C8195C">
        <w:rPr>
          <w:rFonts w:ascii="Arial" w:hAnsi="Arial" w:cs="Arial"/>
          <w:b/>
          <w:sz w:val="24"/>
        </w:rPr>
        <w:t xml:space="preserve">Tablica 1. </w:t>
      </w:r>
      <w:r>
        <w:rPr>
          <w:rFonts w:ascii="Arial" w:hAnsi="Arial" w:cs="Arial"/>
          <w:sz w:val="24"/>
        </w:rPr>
        <w:t>Struktura Izmjena i dopuna Financijskog plana za 202</w:t>
      </w:r>
      <w:r w:rsidR="0065154C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. godinu </w:t>
      </w:r>
    </w:p>
    <w:p w:rsidR="00C8195C" w:rsidRDefault="00C8195C" w:rsidP="004C4547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</w:p>
    <w:p w:rsidR="00C8195C" w:rsidRDefault="003D1B33" w:rsidP="004C4547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 w:rsidRPr="003D1B33">
        <w:rPr>
          <w:noProof/>
          <w:lang w:eastAsia="hr-HR"/>
        </w:rPr>
        <w:drawing>
          <wp:inline distT="0" distB="0" distL="0" distR="0">
            <wp:extent cx="5770245" cy="3057525"/>
            <wp:effectExtent l="0" t="0" r="1905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4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95C" w:rsidRDefault="00C8195C" w:rsidP="004C4547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</w:p>
    <w:p w:rsidR="001334A0" w:rsidRDefault="00E50F12" w:rsidP="004C4547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U </w:t>
      </w:r>
      <w:r w:rsidR="00DA648B">
        <w:rPr>
          <w:rFonts w:ascii="Arial" w:hAnsi="Arial" w:cs="Arial"/>
          <w:b/>
          <w:i/>
          <w:sz w:val="24"/>
        </w:rPr>
        <w:t>T</w:t>
      </w:r>
      <w:r w:rsidRPr="00DA648B">
        <w:rPr>
          <w:rFonts w:ascii="Arial" w:hAnsi="Arial" w:cs="Arial"/>
          <w:b/>
          <w:i/>
          <w:sz w:val="24"/>
        </w:rPr>
        <w:t xml:space="preserve">ablici </w:t>
      </w:r>
      <w:r w:rsidR="00DA648B" w:rsidRPr="00DA648B">
        <w:rPr>
          <w:rFonts w:ascii="Arial" w:hAnsi="Arial" w:cs="Arial"/>
          <w:b/>
          <w:i/>
          <w:sz w:val="24"/>
        </w:rPr>
        <w:t>1.</w:t>
      </w:r>
      <w:r w:rsidR="00DA648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iznad</w:t>
      </w:r>
      <w:r w:rsidR="00DA648B">
        <w:rPr>
          <w:rFonts w:ascii="Arial" w:hAnsi="Arial" w:cs="Arial"/>
          <w:sz w:val="24"/>
        </w:rPr>
        <w:t xml:space="preserve"> prikazana je struktura Izmjena i dopuna Financijskog plana za 2025. godinu iz koje je</w:t>
      </w:r>
      <w:r>
        <w:rPr>
          <w:rFonts w:ascii="Arial" w:hAnsi="Arial" w:cs="Arial"/>
          <w:sz w:val="24"/>
        </w:rPr>
        <w:t xml:space="preserve"> vidljivo</w:t>
      </w:r>
      <w:r w:rsidR="00D8064C">
        <w:rPr>
          <w:rFonts w:ascii="Arial" w:hAnsi="Arial" w:cs="Arial"/>
          <w:sz w:val="24"/>
        </w:rPr>
        <w:t xml:space="preserve"> da</w:t>
      </w:r>
      <w:r w:rsidR="00DA648B">
        <w:rPr>
          <w:rFonts w:ascii="Arial" w:hAnsi="Arial" w:cs="Arial"/>
          <w:sz w:val="24"/>
        </w:rPr>
        <w:t xml:space="preserve"> je došlo do povećanja raspoloživih sredstava u iznosu od 49.932,00 eura, od toga prihodi poslovanja povećani su za 39.168,00 eura te oni nakon ovih izmjena i dopuna iznose 788.</w:t>
      </w:r>
      <w:r w:rsidR="006107A5">
        <w:rPr>
          <w:rFonts w:ascii="Arial" w:hAnsi="Arial" w:cs="Arial"/>
          <w:sz w:val="24"/>
        </w:rPr>
        <w:t>64</w:t>
      </w:r>
      <w:r w:rsidR="00DA648B">
        <w:rPr>
          <w:rFonts w:ascii="Arial" w:hAnsi="Arial" w:cs="Arial"/>
          <w:sz w:val="24"/>
        </w:rPr>
        <w:t>8,00 eura</w:t>
      </w:r>
      <w:r w:rsidR="006107A5">
        <w:rPr>
          <w:rFonts w:ascii="Arial" w:hAnsi="Arial" w:cs="Arial"/>
          <w:sz w:val="24"/>
        </w:rPr>
        <w:t>.</w:t>
      </w:r>
      <w:r w:rsidR="00DA648B">
        <w:rPr>
          <w:rFonts w:ascii="Arial" w:hAnsi="Arial" w:cs="Arial"/>
          <w:sz w:val="24"/>
        </w:rPr>
        <w:t xml:space="preserve"> </w:t>
      </w:r>
      <w:r w:rsidR="006107A5">
        <w:rPr>
          <w:rFonts w:ascii="Arial" w:hAnsi="Arial" w:cs="Arial"/>
          <w:sz w:val="24"/>
        </w:rPr>
        <w:t>D</w:t>
      </w:r>
      <w:r w:rsidR="00DA648B">
        <w:rPr>
          <w:rFonts w:ascii="Arial" w:hAnsi="Arial" w:cs="Arial"/>
          <w:sz w:val="24"/>
        </w:rPr>
        <w:t xml:space="preserve">ok preneseni višak iz prethodne godine iznosi 11.764,00 eura. Ukupna raspoloživa sredstva nakon izmjena i dopuna iznose 800.412,00 eura. </w:t>
      </w:r>
    </w:p>
    <w:p w:rsidR="00E50F12" w:rsidRDefault="00E50F12" w:rsidP="001334A0">
      <w:pPr>
        <w:rPr>
          <w:rFonts w:ascii="Arial" w:hAnsi="Arial" w:cs="Arial"/>
          <w:sz w:val="24"/>
        </w:rPr>
      </w:pPr>
    </w:p>
    <w:p w:rsidR="00DA648B" w:rsidRDefault="001334A0" w:rsidP="001334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E50F12" w:rsidRPr="003A2D3B" w:rsidRDefault="00E50F12" w:rsidP="003A2D3B">
      <w:pPr>
        <w:pStyle w:val="Naslov1"/>
        <w:numPr>
          <w:ilvl w:val="0"/>
          <w:numId w:val="7"/>
        </w:numPr>
        <w:rPr>
          <w:rFonts w:ascii="Arial" w:hAnsi="Arial" w:cs="Arial"/>
        </w:rPr>
      </w:pPr>
      <w:bookmarkStart w:id="2" w:name="_Toc207145249"/>
      <w:r w:rsidRPr="003A2D3B">
        <w:rPr>
          <w:rFonts w:ascii="Arial" w:hAnsi="Arial" w:cs="Arial"/>
        </w:rPr>
        <w:lastRenderedPageBreak/>
        <w:t>PRIHODI I PRIMICI</w:t>
      </w:r>
      <w:bookmarkEnd w:id="2"/>
    </w:p>
    <w:p w:rsidR="00E50F12" w:rsidRDefault="00E50F12" w:rsidP="00E50F12">
      <w:pPr>
        <w:spacing w:after="0" w:line="360" w:lineRule="auto"/>
        <w:ind w:left="360"/>
        <w:jc w:val="both"/>
        <w:rPr>
          <w:rFonts w:ascii="Arial" w:hAnsi="Arial" w:cs="Arial"/>
          <w:sz w:val="24"/>
        </w:rPr>
      </w:pPr>
    </w:p>
    <w:p w:rsidR="003A2D3B" w:rsidRDefault="00E50F12" w:rsidP="001334A0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Ovim izmjenama i dopunama Financijskog plana ukupni prihodi i primici planiraju se na razni od </w:t>
      </w:r>
      <w:r w:rsidR="006107A5">
        <w:rPr>
          <w:rFonts w:ascii="Arial" w:hAnsi="Arial" w:cs="Arial"/>
          <w:sz w:val="24"/>
        </w:rPr>
        <w:t>788.648</w:t>
      </w:r>
      <w:r>
        <w:rPr>
          <w:rFonts w:ascii="Arial" w:hAnsi="Arial" w:cs="Arial"/>
          <w:sz w:val="24"/>
        </w:rPr>
        <w:t>,00 eura što je povećanje od</w:t>
      </w:r>
      <w:r w:rsidR="006107A5">
        <w:rPr>
          <w:rFonts w:ascii="Arial" w:hAnsi="Arial" w:cs="Arial"/>
          <w:sz w:val="24"/>
        </w:rPr>
        <w:t xml:space="preserve"> 38.168,00 eura odnosno</w:t>
      </w:r>
      <w:r>
        <w:rPr>
          <w:rFonts w:ascii="Arial" w:hAnsi="Arial" w:cs="Arial"/>
          <w:sz w:val="24"/>
        </w:rPr>
        <w:t xml:space="preserve"> </w:t>
      </w:r>
      <w:r w:rsidR="006107A5">
        <w:rPr>
          <w:rFonts w:ascii="Arial" w:hAnsi="Arial" w:cs="Arial"/>
          <w:sz w:val="24"/>
        </w:rPr>
        <w:t>5,09</w:t>
      </w:r>
      <w:r>
        <w:rPr>
          <w:rFonts w:ascii="Arial" w:hAnsi="Arial" w:cs="Arial"/>
          <w:sz w:val="24"/>
        </w:rPr>
        <w:t xml:space="preserve">% u odnosu na tekući plan. Prihodi i primici, u tablici ispod, prikazani su prema ekonomskoj klasifikaciji. </w:t>
      </w:r>
    </w:p>
    <w:p w:rsidR="0037665B" w:rsidRPr="0037665B" w:rsidRDefault="0037665B" w:rsidP="0037665B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</w:p>
    <w:p w:rsidR="00E50F12" w:rsidRDefault="00E50F12" w:rsidP="00E50F12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 w:rsidRPr="00E50F12">
        <w:rPr>
          <w:rFonts w:ascii="Arial" w:hAnsi="Arial" w:cs="Arial"/>
          <w:b/>
          <w:i/>
          <w:sz w:val="24"/>
        </w:rPr>
        <w:t>Tablica 2.</w:t>
      </w:r>
      <w:r>
        <w:rPr>
          <w:rFonts w:ascii="Arial" w:hAnsi="Arial" w:cs="Arial"/>
          <w:sz w:val="24"/>
        </w:rPr>
        <w:t xml:space="preserve"> Prihodi i primici prema ekonomskoj klasifikaciji </w:t>
      </w:r>
    </w:p>
    <w:p w:rsidR="006107A5" w:rsidRDefault="006107A5" w:rsidP="00E50F12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</w:p>
    <w:p w:rsidR="00E50F12" w:rsidRDefault="006107A5" w:rsidP="00E50F12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 w:rsidRPr="006107A5">
        <w:rPr>
          <w:noProof/>
          <w:lang w:eastAsia="hr-HR"/>
        </w:rPr>
        <w:drawing>
          <wp:inline distT="0" distB="0" distL="0" distR="0">
            <wp:extent cx="5760720" cy="3171825"/>
            <wp:effectExtent l="0" t="0" r="0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D3B" w:rsidRDefault="003A2D3B" w:rsidP="001334A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7665B" w:rsidRPr="003A2D3B" w:rsidRDefault="003A2D3B" w:rsidP="003A2D3B">
      <w:pPr>
        <w:pStyle w:val="Naslov2"/>
        <w:rPr>
          <w:rFonts w:ascii="Arial" w:hAnsi="Arial" w:cs="Arial"/>
        </w:rPr>
      </w:pPr>
      <w:bookmarkStart w:id="3" w:name="_Toc207145250"/>
      <w:r>
        <w:rPr>
          <w:rFonts w:ascii="Arial" w:hAnsi="Arial" w:cs="Arial"/>
        </w:rPr>
        <w:t xml:space="preserve">2.1 </w:t>
      </w:r>
      <w:r w:rsidR="0037665B" w:rsidRPr="003A2D3B">
        <w:rPr>
          <w:rFonts w:ascii="Arial" w:hAnsi="Arial" w:cs="Arial"/>
        </w:rPr>
        <w:t>PRIHODI I PRIMICI PREMA EKONOMSKOJ KLASIFIKACIJI</w:t>
      </w:r>
      <w:bookmarkEnd w:id="3"/>
      <w:r w:rsidR="0037665B" w:rsidRPr="003A2D3B">
        <w:rPr>
          <w:rFonts w:ascii="Arial" w:hAnsi="Arial" w:cs="Arial"/>
        </w:rPr>
        <w:t xml:space="preserve"> </w:t>
      </w:r>
    </w:p>
    <w:p w:rsidR="0037665B" w:rsidRDefault="0037665B" w:rsidP="0037665B">
      <w:pPr>
        <w:pStyle w:val="Odlomakpopisa"/>
        <w:spacing w:after="0" w:line="360" w:lineRule="auto"/>
        <w:ind w:left="1428"/>
        <w:jc w:val="both"/>
        <w:rPr>
          <w:rFonts w:ascii="Arial" w:hAnsi="Arial" w:cs="Arial"/>
          <w:sz w:val="24"/>
        </w:rPr>
      </w:pPr>
    </w:p>
    <w:p w:rsidR="00E50F12" w:rsidRPr="0037665B" w:rsidRDefault="005C5A37" w:rsidP="0037665B">
      <w:pPr>
        <w:spacing w:after="0" w:line="360" w:lineRule="auto"/>
        <w:ind w:left="708" w:firstLine="708"/>
        <w:jc w:val="both"/>
        <w:rPr>
          <w:rFonts w:ascii="Arial" w:hAnsi="Arial" w:cs="Arial"/>
          <w:sz w:val="24"/>
        </w:rPr>
      </w:pPr>
      <w:r w:rsidRPr="0037665B">
        <w:rPr>
          <w:rFonts w:ascii="Arial" w:hAnsi="Arial" w:cs="Arial"/>
          <w:sz w:val="24"/>
        </w:rPr>
        <w:t>Prihodi poslovanja sastoje se od pomoći iz inozemstva i od subjekata unutar općeg proračuna, prihoda od imovine, prihoda od upravnih i administrativnih pristojbi</w:t>
      </w:r>
      <w:r w:rsidR="006107A5">
        <w:rPr>
          <w:rFonts w:ascii="Arial" w:hAnsi="Arial" w:cs="Arial"/>
          <w:sz w:val="24"/>
        </w:rPr>
        <w:t>, pristojbi</w:t>
      </w:r>
      <w:r w:rsidRPr="0037665B">
        <w:rPr>
          <w:rFonts w:ascii="Arial" w:hAnsi="Arial" w:cs="Arial"/>
          <w:sz w:val="24"/>
        </w:rPr>
        <w:t xml:space="preserve"> po posebnim propisima i naknada, prihoda od prodaje proizvoda i robe te pruženih usluga i prihoda od donacija te povrati po protestiranim jamstvima i prihoda iz nadležnog proračuna</w:t>
      </w:r>
      <w:r w:rsidR="004D3D7F">
        <w:rPr>
          <w:rFonts w:ascii="Arial" w:hAnsi="Arial" w:cs="Arial"/>
          <w:sz w:val="24"/>
        </w:rPr>
        <w:t xml:space="preserve"> i od HZZO-a temeljem ugovornih obveza</w:t>
      </w:r>
      <w:r w:rsidRPr="0037665B">
        <w:rPr>
          <w:rFonts w:ascii="Arial" w:hAnsi="Arial" w:cs="Arial"/>
          <w:sz w:val="24"/>
        </w:rPr>
        <w:t xml:space="preserve">. </w:t>
      </w:r>
      <w:r w:rsidR="004D3D7F">
        <w:rPr>
          <w:rFonts w:ascii="Arial" w:hAnsi="Arial" w:cs="Arial"/>
          <w:sz w:val="24"/>
        </w:rPr>
        <w:t>Prihoda od prodaje nefinancijske imovine skupine 7, škola nije imala u ovom razdoblju.</w:t>
      </w:r>
    </w:p>
    <w:p w:rsidR="007908D0" w:rsidRDefault="007908D0" w:rsidP="00E50F12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</w:p>
    <w:p w:rsidR="004D3D7F" w:rsidRDefault="005C5A37" w:rsidP="00E50F12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 w:rsidRPr="005C5A37">
        <w:rPr>
          <w:rFonts w:ascii="Arial" w:hAnsi="Arial" w:cs="Arial"/>
          <w:b/>
          <w:i/>
          <w:sz w:val="24"/>
        </w:rPr>
        <w:lastRenderedPageBreak/>
        <w:t xml:space="preserve">Pomoći iz inozemstva i od subjekata unutar općeg proračuna </w:t>
      </w:r>
      <w:r>
        <w:rPr>
          <w:rFonts w:ascii="Arial" w:hAnsi="Arial" w:cs="Arial"/>
          <w:sz w:val="24"/>
        </w:rPr>
        <w:t xml:space="preserve">uključuju prihode koji se odnose na plaće i ostala materijalna prava zaposlenika škole te prihode od </w:t>
      </w:r>
      <w:r w:rsidR="004D3D7F">
        <w:rPr>
          <w:rFonts w:ascii="Arial" w:hAnsi="Arial" w:cs="Arial"/>
          <w:sz w:val="24"/>
        </w:rPr>
        <w:t xml:space="preserve">nadležnog </w:t>
      </w:r>
      <w:r>
        <w:rPr>
          <w:rFonts w:ascii="Arial" w:hAnsi="Arial" w:cs="Arial"/>
          <w:sz w:val="24"/>
        </w:rPr>
        <w:t>Ministarstva za financiranje prehrane učenika, udžbenika, lektire za knjižnicu te higijenskih potrepština.</w:t>
      </w:r>
      <w:r w:rsidR="001773B3">
        <w:rPr>
          <w:rFonts w:ascii="Arial" w:hAnsi="Arial" w:cs="Arial"/>
          <w:sz w:val="24"/>
        </w:rPr>
        <w:t xml:space="preserve"> Ujedno, u ove prihode ubrajaju se i tekuće pomoći iz proračuna JLP(R)S koji im nije nadležan tj. prihodi od Općine za financiranje plaća učiteljic</w:t>
      </w:r>
      <w:r w:rsidR="007908D0">
        <w:rPr>
          <w:rFonts w:ascii="Arial" w:hAnsi="Arial" w:cs="Arial"/>
          <w:sz w:val="24"/>
        </w:rPr>
        <w:t>ama</w:t>
      </w:r>
      <w:r w:rsidR="001773B3">
        <w:rPr>
          <w:rFonts w:ascii="Arial" w:hAnsi="Arial" w:cs="Arial"/>
          <w:sz w:val="24"/>
        </w:rPr>
        <w:t xml:space="preserve"> u produženom boravku te financiranje terenske nastave učenik</w:t>
      </w:r>
      <w:r w:rsidR="007908D0">
        <w:rPr>
          <w:rFonts w:ascii="Arial" w:hAnsi="Arial" w:cs="Arial"/>
          <w:sz w:val="24"/>
        </w:rPr>
        <w:t>a.</w:t>
      </w:r>
      <w:r>
        <w:rPr>
          <w:rFonts w:ascii="Arial" w:hAnsi="Arial" w:cs="Arial"/>
          <w:sz w:val="24"/>
        </w:rPr>
        <w:t xml:space="preserve"> Prihodi se na toj poziciji povećavaju za </w:t>
      </w:r>
      <w:r w:rsidR="004D3D7F">
        <w:rPr>
          <w:rFonts w:ascii="Arial" w:hAnsi="Arial" w:cs="Arial"/>
          <w:sz w:val="24"/>
        </w:rPr>
        <w:t>11.260,00</w:t>
      </w:r>
      <w:r>
        <w:rPr>
          <w:rFonts w:ascii="Arial" w:hAnsi="Arial" w:cs="Arial"/>
          <w:sz w:val="24"/>
        </w:rPr>
        <w:t xml:space="preserve"> eura tj. </w:t>
      </w:r>
      <w:r w:rsidR="004D3D7F">
        <w:rPr>
          <w:rFonts w:ascii="Arial" w:hAnsi="Arial" w:cs="Arial"/>
          <w:sz w:val="24"/>
        </w:rPr>
        <w:t>1,72</w:t>
      </w:r>
      <w:r>
        <w:rPr>
          <w:rFonts w:ascii="Arial" w:hAnsi="Arial" w:cs="Arial"/>
          <w:sz w:val="24"/>
        </w:rPr>
        <w:t xml:space="preserve">% te ovim izmjenama i dopunama sada iznose </w:t>
      </w:r>
      <w:r w:rsidR="004D3D7F">
        <w:rPr>
          <w:rFonts w:ascii="Arial" w:hAnsi="Arial" w:cs="Arial"/>
          <w:sz w:val="24"/>
        </w:rPr>
        <w:t>666.960,00</w:t>
      </w:r>
      <w:r>
        <w:rPr>
          <w:rFonts w:ascii="Arial" w:hAnsi="Arial" w:cs="Arial"/>
          <w:sz w:val="24"/>
        </w:rPr>
        <w:t xml:space="preserve"> eura. </w:t>
      </w:r>
      <w:r w:rsidR="001773B3">
        <w:rPr>
          <w:rFonts w:ascii="Arial" w:hAnsi="Arial" w:cs="Arial"/>
          <w:sz w:val="24"/>
        </w:rPr>
        <w:t xml:space="preserve">Najveće promjene predlažu se zbog </w:t>
      </w:r>
      <w:r w:rsidR="004D3D7F">
        <w:rPr>
          <w:rFonts w:ascii="Arial" w:hAnsi="Arial" w:cs="Arial"/>
          <w:sz w:val="24"/>
        </w:rPr>
        <w:t>uvećanja osnovice za obračun plaća javnih i državnih službenika.</w:t>
      </w:r>
    </w:p>
    <w:p w:rsidR="005C5A37" w:rsidRDefault="004D3D7F" w:rsidP="00E50F12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7908D0">
        <w:rPr>
          <w:rFonts w:ascii="Arial" w:hAnsi="Arial" w:cs="Arial"/>
          <w:b/>
          <w:i/>
          <w:sz w:val="24"/>
        </w:rPr>
        <w:t xml:space="preserve">Prihodi od imovine </w:t>
      </w:r>
      <w:r w:rsidR="007908D0">
        <w:rPr>
          <w:rFonts w:ascii="Arial" w:hAnsi="Arial" w:cs="Arial"/>
          <w:sz w:val="24"/>
        </w:rPr>
        <w:t xml:space="preserve">povećavaju se za </w:t>
      </w:r>
      <w:r>
        <w:rPr>
          <w:rFonts w:ascii="Arial" w:hAnsi="Arial" w:cs="Arial"/>
          <w:sz w:val="24"/>
        </w:rPr>
        <w:t>3</w:t>
      </w:r>
      <w:r w:rsidR="007908D0">
        <w:rPr>
          <w:rFonts w:ascii="Arial" w:hAnsi="Arial" w:cs="Arial"/>
          <w:sz w:val="24"/>
        </w:rPr>
        <w:t>0,00 eura te novim planom iznose 1</w:t>
      </w:r>
      <w:r>
        <w:rPr>
          <w:rFonts w:ascii="Arial" w:hAnsi="Arial" w:cs="Arial"/>
          <w:sz w:val="24"/>
        </w:rPr>
        <w:t>3</w:t>
      </w:r>
      <w:r w:rsidR="007908D0">
        <w:rPr>
          <w:rFonts w:ascii="Arial" w:hAnsi="Arial" w:cs="Arial"/>
          <w:sz w:val="24"/>
        </w:rPr>
        <w:t xml:space="preserve">0,00 eura. Navedeno povećanje rezultat je povećanja prihoda od financijske imovine s osnova kamata na depozite po viđenju. </w:t>
      </w:r>
      <w:r w:rsidR="001773B3">
        <w:rPr>
          <w:rFonts w:ascii="Arial" w:hAnsi="Arial" w:cs="Arial"/>
          <w:sz w:val="24"/>
        </w:rPr>
        <w:t xml:space="preserve"> </w:t>
      </w:r>
    </w:p>
    <w:p w:rsidR="00E121D1" w:rsidRDefault="007908D0" w:rsidP="00E50F12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Prihodi od upravnih i administrativnih pristojbi, pristojbi po posebnim propisima i naknada </w:t>
      </w:r>
      <w:r>
        <w:rPr>
          <w:rFonts w:ascii="Arial" w:hAnsi="Arial" w:cs="Arial"/>
          <w:sz w:val="24"/>
        </w:rPr>
        <w:t xml:space="preserve">predlaže se uvećanje u iznosu od </w:t>
      </w:r>
      <w:r w:rsidR="004D3D7F">
        <w:rPr>
          <w:rFonts w:ascii="Arial" w:hAnsi="Arial" w:cs="Arial"/>
          <w:sz w:val="24"/>
        </w:rPr>
        <w:t>1.900,00</w:t>
      </w:r>
      <w:r>
        <w:rPr>
          <w:rFonts w:ascii="Arial" w:hAnsi="Arial" w:cs="Arial"/>
          <w:sz w:val="24"/>
        </w:rPr>
        <w:t xml:space="preserve"> eura tj. </w:t>
      </w:r>
      <w:r w:rsidR="004D3D7F">
        <w:rPr>
          <w:rFonts w:ascii="Arial" w:hAnsi="Arial" w:cs="Arial"/>
          <w:sz w:val="24"/>
        </w:rPr>
        <w:t>7,92</w:t>
      </w:r>
      <w:r>
        <w:rPr>
          <w:rFonts w:ascii="Arial" w:hAnsi="Arial" w:cs="Arial"/>
          <w:sz w:val="24"/>
        </w:rPr>
        <w:t>%. Navedeno povećanje odnosi se na uvećanje prihoda</w:t>
      </w:r>
      <w:r w:rsidR="004D3D7F">
        <w:rPr>
          <w:rFonts w:ascii="Arial" w:hAnsi="Arial" w:cs="Arial"/>
          <w:sz w:val="24"/>
        </w:rPr>
        <w:t xml:space="preserve"> sufinanciranja cijene usluge, participacije i sl. odnosno na prihode roditelja za sufinanciranje produženog boravaka. Do povećanja je došlo zbog planiranog većeg broja upisan</w:t>
      </w:r>
      <w:r w:rsidR="00E121D1">
        <w:rPr>
          <w:rFonts w:ascii="Arial" w:hAnsi="Arial" w:cs="Arial"/>
          <w:sz w:val="24"/>
        </w:rPr>
        <w:t>ih učenika nižih razreda u produženi boravak početkom nove školske godine 2025./26. sa dosadašnjih 41 na 45 učenika.</w:t>
      </w:r>
    </w:p>
    <w:p w:rsidR="00E121D1" w:rsidRDefault="00165478" w:rsidP="00E50F12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Prihodi od prodaje proizvoda i robe te pruženih usluga i prihodi od donacija te povrati po protestiranim jamstvima </w:t>
      </w:r>
      <w:r>
        <w:rPr>
          <w:rFonts w:ascii="Arial" w:hAnsi="Arial" w:cs="Arial"/>
          <w:sz w:val="24"/>
        </w:rPr>
        <w:t>uključuju prihode prodaje proizvoda učeničke zadruge i prihode od najama dvorane i učionice za provođenje nastave iz stranog jezika te standardnih plesova. Ovim izmjenama i dopunama, plan</w:t>
      </w:r>
      <w:r w:rsidR="00E121D1">
        <w:rPr>
          <w:rFonts w:ascii="Arial" w:hAnsi="Arial" w:cs="Arial"/>
          <w:sz w:val="24"/>
        </w:rPr>
        <w:t xml:space="preserve"> se nije značajno promijenio u odnosu na tekući (3.700,00 eura) te on nakon izmjena i dopuna iznosi 3.691,00 eura.</w:t>
      </w:r>
      <w:r>
        <w:rPr>
          <w:rFonts w:ascii="Arial" w:hAnsi="Arial" w:cs="Arial"/>
          <w:sz w:val="24"/>
        </w:rPr>
        <w:t xml:space="preserve"> </w:t>
      </w:r>
    </w:p>
    <w:p w:rsidR="0037665B" w:rsidRDefault="00C26326" w:rsidP="00E50F12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Prihodi iz nadležnog proračuna i od HZZO-a temeljem ugovornih obveza </w:t>
      </w:r>
      <w:r>
        <w:rPr>
          <w:rFonts w:ascii="Arial" w:hAnsi="Arial" w:cs="Arial"/>
          <w:sz w:val="24"/>
        </w:rPr>
        <w:t xml:space="preserve">odnose se na prihode iz nadležnog proračuna za financiranje redovne djelatnosti proračunskih korisnika. Ovim izmjenama i dopunama tekući plan je uvećan za </w:t>
      </w:r>
      <w:r w:rsidR="00E121D1">
        <w:rPr>
          <w:rFonts w:ascii="Arial" w:hAnsi="Arial" w:cs="Arial"/>
          <w:sz w:val="24"/>
        </w:rPr>
        <w:t>24.987,00</w:t>
      </w:r>
      <w:r>
        <w:rPr>
          <w:rFonts w:ascii="Arial" w:hAnsi="Arial" w:cs="Arial"/>
          <w:sz w:val="24"/>
        </w:rPr>
        <w:t xml:space="preserve"> eura tj. za </w:t>
      </w:r>
      <w:r w:rsidR="00E121D1">
        <w:rPr>
          <w:rFonts w:ascii="Arial" w:hAnsi="Arial" w:cs="Arial"/>
          <w:sz w:val="24"/>
        </w:rPr>
        <w:t>37,31</w:t>
      </w:r>
      <w:r>
        <w:rPr>
          <w:rFonts w:ascii="Arial" w:hAnsi="Arial" w:cs="Arial"/>
          <w:sz w:val="24"/>
        </w:rPr>
        <w:t xml:space="preserve">% i iznosi </w:t>
      </w:r>
      <w:r w:rsidR="00E121D1">
        <w:rPr>
          <w:rFonts w:ascii="Arial" w:hAnsi="Arial" w:cs="Arial"/>
          <w:sz w:val="24"/>
        </w:rPr>
        <w:t>91.967</w:t>
      </w:r>
      <w:r>
        <w:rPr>
          <w:rFonts w:ascii="Arial" w:hAnsi="Arial" w:cs="Arial"/>
          <w:sz w:val="24"/>
        </w:rPr>
        <w:t xml:space="preserve">,00 eura. </w:t>
      </w:r>
      <w:r w:rsidR="00E121D1">
        <w:rPr>
          <w:rFonts w:ascii="Arial" w:hAnsi="Arial" w:cs="Arial"/>
          <w:sz w:val="24"/>
        </w:rPr>
        <w:t xml:space="preserve">Uvećanje od 7.200,00 eura odnosi se na uvećanje sredstava prema Odluci o </w:t>
      </w:r>
      <w:r w:rsidR="009B71CE">
        <w:rPr>
          <w:rFonts w:ascii="Arial" w:hAnsi="Arial" w:cs="Arial"/>
          <w:sz w:val="24"/>
        </w:rPr>
        <w:t xml:space="preserve">kriterijima, mjerilima i načinu financiranja minimalnog financijskog standarda javnih potreba u osnovnom i srednjem školstvu u 2025. </w:t>
      </w:r>
      <w:r w:rsidR="00DF196C">
        <w:rPr>
          <w:rFonts w:ascii="Arial" w:hAnsi="Arial" w:cs="Arial"/>
          <w:sz w:val="24"/>
        </w:rPr>
        <w:t>g</w:t>
      </w:r>
      <w:r w:rsidR="009B71CE">
        <w:rPr>
          <w:rFonts w:ascii="Arial" w:hAnsi="Arial" w:cs="Arial"/>
          <w:sz w:val="24"/>
        </w:rPr>
        <w:t>odin</w:t>
      </w:r>
      <w:r w:rsidR="00DF196C">
        <w:rPr>
          <w:rFonts w:ascii="Arial" w:hAnsi="Arial" w:cs="Arial"/>
          <w:sz w:val="24"/>
        </w:rPr>
        <w:t>i</w:t>
      </w:r>
      <w:r w:rsidR="009B71CE">
        <w:rPr>
          <w:rFonts w:ascii="Arial" w:hAnsi="Arial" w:cs="Arial"/>
          <w:sz w:val="24"/>
        </w:rPr>
        <w:t xml:space="preserve"> od 19. </w:t>
      </w:r>
      <w:r w:rsidR="00DF196C">
        <w:rPr>
          <w:rFonts w:ascii="Arial" w:hAnsi="Arial" w:cs="Arial"/>
          <w:sz w:val="24"/>
        </w:rPr>
        <w:t>o</w:t>
      </w:r>
      <w:r w:rsidR="009B71CE">
        <w:rPr>
          <w:rFonts w:ascii="Arial" w:hAnsi="Arial" w:cs="Arial"/>
          <w:sz w:val="24"/>
        </w:rPr>
        <w:t xml:space="preserve">žujka 2025. prema kojoj Osnovnoj školi Beletinec pripada 600,00 eura mjesečno po razrednom odjelu, a kako škola u </w:t>
      </w:r>
      <w:r w:rsidR="009B71CE">
        <w:rPr>
          <w:rFonts w:ascii="Arial" w:hAnsi="Arial" w:cs="Arial"/>
          <w:sz w:val="24"/>
        </w:rPr>
        <w:lastRenderedPageBreak/>
        <w:t xml:space="preserve">školskoj godini 2025./26. ima osam razrednih odjela, financijski plan uvećava se za navedeni razredni odjel. </w:t>
      </w:r>
      <w:r w:rsidR="00DF196C">
        <w:rPr>
          <w:rFonts w:ascii="Arial" w:hAnsi="Arial" w:cs="Arial"/>
          <w:sz w:val="24"/>
        </w:rPr>
        <w:t xml:space="preserve">Prema planu sigurnosti pristupa u školu, plan se uvećava za 6.697,00 eura. Škola je sredstva namjenski utrošila na rekonstrukciju ulaznih vrata i postavljanje </w:t>
      </w:r>
      <w:proofErr w:type="spellStart"/>
      <w:r w:rsidR="00DF196C">
        <w:rPr>
          <w:rFonts w:ascii="Arial" w:hAnsi="Arial" w:cs="Arial"/>
          <w:sz w:val="24"/>
        </w:rPr>
        <w:t>interfona</w:t>
      </w:r>
      <w:proofErr w:type="spellEnd"/>
      <w:r w:rsidR="00DF196C">
        <w:rPr>
          <w:rFonts w:ascii="Arial" w:hAnsi="Arial" w:cs="Arial"/>
          <w:sz w:val="24"/>
        </w:rPr>
        <w:t xml:space="preserve"> za kontrolu ulaska i izlaska iz škole. Za 563,00 eura uvećan je financijski plan zbog izrade Plana sigurnosti. Uvećanje od 166,00 eura odnosi se na promociju Građanskog odgoja, a 59,00 eura za nabavu reflektirajućih traka za učenike prvog razreda. Uvećanje od 100,00 eura odnosi se na edukativnu kampanju „Smanjuj rizik od katastrofa“. Te ujedno najveće uvećanje u iznosu od 14.883,00 eura odnosi se na nabavu računala za potrebe opremanja informatičke učionice. </w:t>
      </w:r>
      <w:r w:rsidR="00924D0B">
        <w:rPr>
          <w:rFonts w:ascii="Arial" w:hAnsi="Arial" w:cs="Arial"/>
          <w:sz w:val="24"/>
        </w:rPr>
        <w:t xml:space="preserve">Smanjenje plana u iznosu od 4.680,00 eura odnosi se na plaće učiteljicama u produženom boravku, a koje se financiraju iz županijskog proračuna, za mjesec srpanj i kolovoz 2025. godine. Kako je jedna od učiteljica iz produženog boravaka na korištenju </w:t>
      </w:r>
      <w:proofErr w:type="spellStart"/>
      <w:r w:rsidR="00924D0B">
        <w:rPr>
          <w:rFonts w:ascii="Arial" w:hAnsi="Arial" w:cs="Arial"/>
          <w:sz w:val="24"/>
        </w:rPr>
        <w:t>rodiljnog</w:t>
      </w:r>
      <w:proofErr w:type="spellEnd"/>
      <w:r w:rsidR="00924D0B">
        <w:rPr>
          <w:rFonts w:ascii="Arial" w:hAnsi="Arial" w:cs="Arial"/>
          <w:sz w:val="24"/>
        </w:rPr>
        <w:t xml:space="preserve"> dopusta od mjeseca lipnja, plaća za mjesec srpanj i kolovoz 2025. neće biti isplaćena iz županijskog proračuna pa se ujedno za taj iznos smanjuje financijski plan. </w:t>
      </w:r>
    </w:p>
    <w:p w:rsidR="00924D0B" w:rsidRDefault="00924D0B" w:rsidP="00E50F12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</w:p>
    <w:p w:rsidR="0037665B" w:rsidRPr="003A2D3B" w:rsidRDefault="003A2D3B" w:rsidP="003A2D3B">
      <w:pPr>
        <w:pStyle w:val="Naslov2"/>
        <w:rPr>
          <w:rFonts w:ascii="Arial" w:hAnsi="Arial" w:cs="Arial"/>
        </w:rPr>
      </w:pPr>
      <w:bookmarkStart w:id="4" w:name="_Toc207145251"/>
      <w:r>
        <w:rPr>
          <w:rFonts w:ascii="Arial" w:hAnsi="Arial" w:cs="Arial"/>
        </w:rPr>
        <w:t xml:space="preserve">2.2 </w:t>
      </w:r>
      <w:r w:rsidR="0037665B" w:rsidRPr="003A2D3B">
        <w:rPr>
          <w:rFonts w:ascii="Arial" w:hAnsi="Arial" w:cs="Arial"/>
        </w:rPr>
        <w:t>PRIHODI I PRIMICI PREMA IZVORIMA FINANCIRANJA</w:t>
      </w:r>
      <w:bookmarkEnd w:id="4"/>
    </w:p>
    <w:p w:rsidR="0037665B" w:rsidRDefault="0037665B" w:rsidP="0037665B">
      <w:pPr>
        <w:spacing w:after="0" w:line="360" w:lineRule="auto"/>
        <w:ind w:left="708"/>
        <w:jc w:val="both"/>
        <w:rPr>
          <w:rFonts w:ascii="Arial" w:hAnsi="Arial" w:cs="Arial"/>
          <w:sz w:val="24"/>
        </w:rPr>
      </w:pPr>
    </w:p>
    <w:p w:rsidR="001334A0" w:rsidRDefault="001334A0" w:rsidP="0037665B">
      <w:pPr>
        <w:spacing w:after="0" w:line="360" w:lineRule="auto"/>
        <w:ind w:left="708"/>
        <w:jc w:val="both"/>
        <w:rPr>
          <w:rFonts w:ascii="Arial" w:hAnsi="Arial" w:cs="Arial"/>
          <w:sz w:val="24"/>
        </w:rPr>
      </w:pPr>
    </w:p>
    <w:p w:rsidR="00924D0B" w:rsidRDefault="0037665B" w:rsidP="001334A0">
      <w:pPr>
        <w:spacing w:after="0" w:line="360" w:lineRule="auto"/>
        <w:ind w:left="708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 nastavku, tablicom ispod,  dani je prikaz prihoda i primitaka financijskog plana prema osnovnim izvorima financiranja, kao i promjene na istima. </w:t>
      </w:r>
    </w:p>
    <w:p w:rsidR="0037665B" w:rsidRDefault="0037665B" w:rsidP="0037665B">
      <w:pPr>
        <w:spacing w:after="0" w:line="360" w:lineRule="auto"/>
        <w:ind w:left="708" w:firstLine="708"/>
        <w:jc w:val="both"/>
        <w:rPr>
          <w:rFonts w:ascii="Arial" w:hAnsi="Arial" w:cs="Arial"/>
          <w:sz w:val="24"/>
        </w:rPr>
      </w:pPr>
    </w:p>
    <w:p w:rsidR="0037665B" w:rsidRDefault="0037665B" w:rsidP="0037665B">
      <w:pPr>
        <w:spacing w:after="0" w:line="360" w:lineRule="auto"/>
        <w:ind w:left="708" w:firstLine="708"/>
        <w:jc w:val="both"/>
        <w:rPr>
          <w:rFonts w:ascii="Arial" w:hAnsi="Arial" w:cs="Arial"/>
          <w:sz w:val="24"/>
        </w:rPr>
      </w:pPr>
      <w:r w:rsidRPr="0037665B">
        <w:rPr>
          <w:rFonts w:ascii="Arial" w:hAnsi="Arial" w:cs="Arial"/>
          <w:b/>
          <w:i/>
          <w:sz w:val="24"/>
        </w:rPr>
        <w:t xml:space="preserve">Tablica 3. </w:t>
      </w:r>
      <w:r>
        <w:rPr>
          <w:rFonts w:ascii="Arial" w:hAnsi="Arial" w:cs="Arial"/>
          <w:sz w:val="24"/>
        </w:rPr>
        <w:t>Prihodi i primici prema izvorima financiranja</w:t>
      </w:r>
    </w:p>
    <w:p w:rsidR="001334A0" w:rsidRDefault="001334A0" w:rsidP="0037665B">
      <w:pPr>
        <w:spacing w:after="0" w:line="360" w:lineRule="auto"/>
        <w:ind w:left="708" w:firstLine="708"/>
        <w:jc w:val="both"/>
        <w:rPr>
          <w:rFonts w:ascii="Arial" w:hAnsi="Arial" w:cs="Arial"/>
          <w:sz w:val="24"/>
        </w:rPr>
      </w:pPr>
    </w:p>
    <w:p w:rsidR="00185B6C" w:rsidRDefault="00185B6C" w:rsidP="0037665B">
      <w:pPr>
        <w:spacing w:after="0" w:line="360" w:lineRule="auto"/>
        <w:ind w:left="708" w:firstLine="708"/>
        <w:jc w:val="both"/>
        <w:rPr>
          <w:rFonts w:ascii="Arial" w:hAnsi="Arial" w:cs="Arial"/>
          <w:sz w:val="24"/>
        </w:rPr>
      </w:pPr>
    </w:p>
    <w:tbl>
      <w:tblPr>
        <w:tblW w:w="9853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049"/>
        <w:gridCol w:w="1985"/>
        <w:gridCol w:w="1843"/>
        <w:gridCol w:w="1701"/>
        <w:gridCol w:w="1275"/>
      </w:tblGrid>
      <w:tr w:rsidR="0047562A" w:rsidRPr="00185B6C" w:rsidTr="0047562A">
        <w:trPr>
          <w:trHeight w:val="840"/>
        </w:trPr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ADC"/>
            <w:vAlign w:val="center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Prihodi i primici prema izvorima financiranja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EAADC"/>
            <w:vAlign w:val="center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Plan 2025. (1.)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EAADC"/>
            <w:vAlign w:val="center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Povećanje/smanjenje (2.)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EAADC"/>
            <w:vAlign w:val="center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Novi plan 2025. (3.)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8EAADC"/>
            <w:vAlign w:val="center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Indeks % (3/1)</w:t>
            </w:r>
          </w:p>
        </w:tc>
      </w:tr>
      <w:tr w:rsidR="0047562A" w:rsidRPr="00185B6C" w:rsidTr="0047562A">
        <w:trPr>
          <w:trHeight w:val="440"/>
        </w:trPr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47562A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Izvor: 11 Opći prihodi i primici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16.580,00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-4.680,00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11.900,00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85B6C">
              <w:rPr>
                <w:rFonts w:ascii="Calibri" w:eastAsia="Times New Roman" w:hAnsi="Calibri" w:cs="Calibri"/>
                <w:color w:val="000000"/>
                <w:lang w:eastAsia="hr-HR"/>
              </w:rPr>
              <w:t>71,77%</w:t>
            </w:r>
          </w:p>
        </w:tc>
      </w:tr>
      <w:tr w:rsidR="0047562A" w:rsidRPr="00185B6C" w:rsidTr="0047562A">
        <w:trPr>
          <w:trHeight w:val="460"/>
        </w:trPr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Izvor: 31 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1.021,00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3.121,00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85B6C">
              <w:rPr>
                <w:rFonts w:ascii="Calibri" w:eastAsia="Times New Roman" w:hAnsi="Calibri" w:cs="Calibri"/>
                <w:color w:val="000000"/>
                <w:lang w:eastAsia="hr-HR"/>
              </w:rPr>
              <w:t>148,62%</w:t>
            </w:r>
          </w:p>
        </w:tc>
      </w:tr>
      <w:tr w:rsidR="0047562A" w:rsidRPr="00185B6C" w:rsidTr="0047562A">
        <w:trPr>
          <w:trHeight w:val="660"/>
        </w:trPr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Izvor: 43 Ostali prihodi za posebne namjene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25.900,00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85B6C">
              <w:rPr>
                <w:rFonts w:ascii="Calibri" w:eastAsia="Times New Roman" w:hAnsi="Calibri" w:cs="Calibri"/>
                <w:color w:val="000000"/>
                <w:lang w:eastAsia="hr-HR"/>
              </w:rPr>
              <w:t>107,92%</w:t>
            </w:r>
          </w:p>
        </w:tc>
      </w:tr>
      <w:tr w:rsidR="0047562A" w:rsidRPr="00185B6C" w:rsidTr="0047562A">
        <w:trPr>
          <w:trHeight w:val="410"/>
        </w:trPr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lastRenderedPageBreak/>
              <w:t>Izvor: 44 Decentralizirana sredstva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50.400,00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29.667,00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80.067,00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85B6C">
              <w:rPr>
                <w:rFonts w:ascii="Calibri" w:eastAsia="Times New Roman" w:hAnsi="Calibri" w:cs="Calibri"/>
                <w:color w:val="000000"/>
                <w:lang w:eastAsia="hr-HR"/>
              </w:rPr>
              <w:t>158,86%</w:t>
            </w:r>
          </w:p>
        </w:tc>
      </w:tr>
      <w:tr w:rsidR="0047562A" w:rsidRPr="00185B6C" w:rsidTr="0047562A">
        <w:trPr>
          <w:trHeight w:val="430"/>
        </w:trPr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Izvor: 52 Ostale pomoći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655.700,00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11.260,00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666.960,00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85B6C">
              <w:rPr>
                <w:rFonts w:ascii="Calibri" w:eastAsia="Times New Roman" w:hAnsi="Calibri" w:cs="Calibri"/>
                <w:color w:val="000000"/>
                <w:lang w:eastAsia="hr-HR"/>
              </w:rPr>
              <w:t>101,72%</w:t>
            </w:r>
          </w:p>
        </w:tc>
      </w:tr>
      <w:tr w:rsidR="0047562A" w:rsidRPr="00185B6C" w:rsidTr="0047562A">
        <w:trPr>
          <w:trHeight w:val="350"/>
        </w:trPr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300" w:firstLine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Izvor: 61 Donacije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-1.000,00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85B6C">
              <w:rPr>
                <w:rFonts w:ascii="Calibri" w:eastAsia="Times New Roman" w:hAnsi="Calibri" w:cs="Calibri"/>
                <w:color w:val="000000"/>
                <w:lang w:eastAsia="hr-HR"/>
              </w:rPr>
              <w:t>41,18%</w:t>
            </w:r>
          </w:p>
        </w:tc>
      </w:tr>
      <w:tr w:rsidR="0047562A" w:rsidRPr="00185B6C" w:rsidTr="0047562A">
        <w:trPr>
          <w:trHeight w:val="667"/>
        </w:trPr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ADC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SVEUKUPNO PRIHODI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ADC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750.480,00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ADC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38.168,00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ADC"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85B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788.648,00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ADC"/>
            <w:noWrap/>
            <w:vAlign w:val="bottom"/>
            <w:hideMark/>
          </w:tcPr>
          <w:p w:rsidR="00185B6C" w:rsidRPr="00185B6C" w:rsidRDefault="00185B6C" w:rsidP="00185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85B6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105,09%</w:t>
            </w:r>
          </w:p>
        </w:tc>
      </w:tr>
    </w:tbl>
    <w:p w:rsidR="0037665B" w:rsidRDefault="0037665B" w:rsidP="0047562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7665B" w:rsidRDefault="0037665B" w:rsidP="00E50F12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</w:p>
    <w:p w:rsidR="0037665B" w:rsidRDefault="00EE0C30" w:rsidP="00E50F12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Iz </w:t>
      </w:r>
      <w:r w:rsidRPr="00EE0C30">
        <w:rPr>
          <w:rFonts w:ascii="Arial" w:hAnsi="Arial" w:cs="Arial"/>
          <w:b/>
          <w:i/>
          <w:sz w:val="24"/>
        </w:rPr>
        <w:t>tablice 3</w:t>
      </w:r>
      <w:r>
        <w:rPr>
          <w:rFonts w:ascii="Arial" w:hAnsi="Arial" w:cs="Arial"/>
          <w:sz w:val="24"/>
        </w:rPr>
        <w:t>. vidljivo je da se najveća promjena tj. uvećanje finan</w:t>
      </w:r>
      <w:r w:rsidR="00C25098">
        <w:rPr>
          <w:rFonts w:ascii="Arial" w:hAnsi="Arial" w:cs="Arial"/>
          <w:sz w:val="24"/>
        </w:rPr>
        <w:t>ci</w:t>
      </w:r>
      <w:r w:rsidR="00E853BF">
        <w:rPr>
          <w:rFonts w:ascii="Arial" w:hAnsi="Arial" w:cs="Arial"/>
          <w:sz w:val="24"/>
        </w:rPr>
        <w:t>jskog plana odnosi na izvor 44 D</w:t>
      </w:r>
      <w:r w:rsidR="00C25098">
        <w:rPr>
          <w:rFonts w:ascii="Arial" w:hAnsi="Arial" w:cs="Arial"/>
          <w:sz w:val="24"/>
        </w:rPr>
        <w:t>ecentralizirana sredstva u iznosu od 29.667,00 eura odnosno 58,86%. Decentralizirana sredstva su sredstva dobivena iz županijskog proračuna za potrebe financiranja redovne djelatnosti škole. Uvećanje se odnosi na sredstva dobivena putem dodatnih zaključ</w:t>
      </w:r>
      <w:r w:rsidR="00E853BF">
        <w:rPr>
          <w:rFonts w:ascii="Arial" w:hAnsi="Arial" w:cs="Arial"/>
          <w:sz w:val="24"/>
        </w:rPr>
        <w:t>a</w:t>
      </w:r>
      <w:r w:rsidR="00C25098">
        <w:rPr>
          <w:rFonts w:ascii="Arial" w:hAnsi="Arial" w:cs="Arial"/>
          <w:sz w:val="24"/>
        </w:rPr>
        <w:t>ka u iznosu od 22.468,00 eura, a uvećanje od 7.200,00 eura odnosi se na sredstva dobivena prema Odluci o kriterijima</w:t>
      </w:r>
      <w:r w:rsidR="00E853BF">
        <w:rPr>
          <w:rFonts w:ascii="Arial" w:hAnsi="Arial" w:cs="Arial"/>
          <w:sz w:val="24"/>
        </w:rPr>
        <w:t xml:space="preserve"> i mjerilima za financiranje minimalnog financijskog standarda javnih potreba škole</w:t>
      </w:r>
      <w:r w:rsidR="00C25098">
        <w:rPr>
          <w:rFonts w:ascii="Arial" w:hAnsi="Arial" w:cs="Arial"/>
          <w:sz w:val="24"/>
        </w:rPr>
        <w:t xml:space="preserve">. Ujedno, na izvoru 52 Ostale pomoći koji se odnosi na pomoći dobivene od nadležnog Ministarstva i Općine za financiranje plaća zaposlenicima, financijski plan je uvećan za 11.260,00 eura što čini 1,72% zbog povećanja osnovice za obračun plaća javnih službenika u skladu s dogovorom Vlade RH sa Sindikatima. </w:t>
      </w:r>
      <w:r w:rsidR="00E853BF">
        <w:rPr>
          <w:rFonts w:ascii="Arial" w:hAnsi="Arial" w:cs="Arial"/>
          <w:sz w:val="24"/>
        </w:rPr>
        <w:t>Financijski plan je smanjen na izvori 11 Opći prihodi i primici u iznosu od 4.680,00 eura tj. za 28,23%. Ovo smanjenje odnosi se na pla</w:t>
      </w:r>
      <w:r w:rsidR="002D4A07">
        <w:rPr>
          <w:rFonts w:ascii="Arial" w:hAnsi="Arial" w:cs="Arial"/>
          <w:sz w:val="24"/>
        </w:rPr>
        <w:t xml:space="preserve">će učiteljica </w:t>
      </w:r>
      <w:r w:rsidR="00E853BF">
        <w:rPr>
          <w:rFonts w:ascii="Arial" w:hAnsi="Arial" w:cs="Arial"/>
          <w:sz w:val="24"/>
        </w:rPr>
        <w:t>u produženom boravku za srpanj i kolovoz 2025. godine</w:t>
      </w:r>
      <w:r w:rsidR="002D4A07">
        <w:rPr>
          <w:rFonts w:ascii="Arial" w:hAnsi="Arial" w:cs="Arial"/>
          <w:sz w:val="24"/>
        </w:rPr>
        <w:t>,</w:t>
      </w:r>
      <w:r w:rsidR="00E853BF">
        <w:rPr>
          <w:rFonts w:ascii="Arial" w:hAnsi="Arial" w:cs="Arial"/>
          <w:sz w:val="24"/>
        </w:rPr>
        <w:t xml:space="preserve"> koje se financiraju iz županijskog proračuna</w:t>
      </w:r>
      <w:r w:rsidR="002D4A07">
        <w:rPr>
          <w:rFonts w:ascii="Arial" w:hAnsi="Arial" w:cs="Arial"/>
          <w:sz w:val="24"/>
        </w:rPr>
        <w:t xml:space="preserve">. Naime, jedna od učiteljica od lipnja 2025. koristi </w:t>
      </w:r>
      <w:proofErr w:type="spellStart"/>
      <w:r w:rsidR="002D4A07">
        <w:rPr>
          <w:rFonts w:ascii="Arial" w:hAnsi="Arial" w:cs="Arial"/>
          <w:sz w:val="24"/>
        </w:rPr>
        <w:t>rodiljni</w:t>
      </w:r>
      <w:proofErr w:type="spellEnd"/>
      <w:r w:rsidR="002D4A07">
        <w:rPr>
          <w:rFonts w:ascii="Arial" w:hAnsi="Arial" w:cs="Arial"/>
          <w:sz w:val="24"/>
        </w:rPr>
        <w:t xml:space="preserve"> dopust, zbog čega navedeni prihod neće biti ostvaren, pa je financijski plan sukladno tome umanjen.</w:t>
      </w:r>
      <w:r>
        <w:rPr>
          <w:rFonts w:ascii="Arial" w:hAnsi="Arial" w:cs="Arial"/>
          <w:sz w:val="24"/>
        </w:rPr>
        <w:t xml:space="preserve"> </w:t>
      </w:r>
      <w:r w:rsidR="002D4A07">
        <w:rPr>
          <w:rFonts w:ascii="Arial" w:hAnsi="Arial" w:cs="Arial"/>
          <w:sz w:val="24"/>
        </w:rPr>
        <w:t xml:space="preserve">Ujedno, financijski plan smanjen je i na izvoru 61 Donacije u iznosu od 1.000,00 eura jer se u narednom razdoblju ne očekuje naplata takvih prihoda. </w:t>
      </w:r>
    </w:p>
    <w:p w:rsidR="001334A0" w:rsidRDefault="001334A0" w:rsidP="00E50F12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</w:p>
    <w:p w:rsidR="001559D0" w:rsidRDefault="001559D0" w:rsidP="00E50F12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Grafikonom ispod prikazani su podaci o udjelima prihoda i primitaka prema izvorima financiranja. Vidljivo je kako se u novom planu za 202</w:t>
      </w:r>
      <w:r w:rsidR="00BA10E7">
        <w:rPr>
          <w:rFonts w:ascii="Arial" w:hAnsi="Arial" w:cs="Arial"/>
          <w:sz w:val="24"/>
        </w:rPr>
        <w:t>5. godinu najveći udio od 84,57</w:t>
      </w:r>
      <w:r>
        <w:rPr>
          <w:rFonts w:ascii="Arial" w:hAnsi="Arial" w:cs="Arial"/>
          <w:sz w:val="24"/>
        </w:rPr>
        <w:t>% odnosi na prihode i primitke iz izvora 52 tj. na prihode financirane od s</w:t>
      </w:r>
      <w:r w:rsidR="00BA10E7">
        <w:rPr>
          <w:rFonts w:ascii="Arial" w:hAnsi="Arial" w:cs="Arial"/>
          <w:sz w:val="24"/>
        </w:rPr>
        <w:t>trane nadležnog Ministarstva i O</w:t>
      </w:r>
      <w:r>
        <w:rPr>
          <w:rFonts w:ascii="Arial" w:hAnsi="Arial" w:cs="Arial"/>
          <w:sz w:val="24"/>
        </w:rPr>
        <w:t xml:space="preserve">pćina. Značajan udio od </w:t>
      </w:r>
      <w:r w:rsidR="00BA10E7">
        <w:rPr>
          <w:rFonts w:ascii="Arial" w:hAnsi="Arial" w:cs="Arial"/>
          <w:sz w:val="24"/>
        </w:rPr>
        <w:t>10,15</w:t>
      </w:r>
      <w:r>
        <w:rPr>
          <w:rFonts w:ascii="Arial" w:hAnsi="Arial" w:cs="Arial"/>
          <w:sz w:val="24"/>
        </w:rPr>
        <w:t>% odnosi se još na decentralizirana sredst</w:t>
      </w:r>
      <w:r w:rsidR="00BA10E7">
        <w:rPr>
          <w:rFonts w:ascii="Arial" w:hAnsi="Arial" w:cs="Arial"/>
          <w:sz w:val="24"/>
        </w:rPr>
        <w:t>va tj. na sredstva dobivena od Ž</w:t>
      </w:r>
      <w:r>
        <w:rPr>
          <w:rFonts w:ascii="Arial" w:hAnsi="Arial" w:cs="Arial"/>
          <w:sz w:val="24"/>
        </w:rPr>
        <w:t xml:space="preserve">upanije za financiranje redovne djelatnosti škole. </w:t>
      </w:r>
      <w:r w:rsidR="00BA10E7">
        <w:rPr>
          <w:rFonts w:ascii="Arial" w:hAnsi="Arial" w:cs="Arial"/>
          <w:sz w:val="24"/>
        </w:rPr>
        <w:t xml:space="preserve">Ostali izvori financiranja imaju znatno manji </w:t>
      </w:r>
      <w:r w:rsidR="00BA10E7">
        <w:rPr>
          <w:rFonts w:ascii="Arial" w:hAnsi="Arial" w:cs="Arial"/>
          <w:sz w:val="24"/>
        </w:rPr>
        <w:lastRenderedPageBreak/>
        <w:t>udio, a pretežno se odnose na vlastite prihode koja škola ostvar</w:t>
      </w:r>
      <w:r w:rsidR="00A335C1">
        <w:rPr>
          <w:rFonts w:ascii="Arial" w:hAnsi="Arial" w:cs="Arial"/>
          <w:sz w:val="24"/>
        </w:rPr>
        <w:t>uje od najma dvorane i učionic</w:t>
      </w:r>
      <w:r w:rsidR="00BA10E7">
        <w:rPr>
          <w:rFonts w:ascii="Arial" w:hAnsi="Arial" w:cs="Arial"/>
          <w:sz w:val="24"/>
        </w:rPr>
        <w:t xml:space="preserve">e, prodaje proizvoda učeničke zadruge, donacija, prihoda od roditelja za financiranje programa produženog boravka i ostalo.  </w:t>
      </w:r>
    </w:p>
    <w:p w:rsidR="0044632C" w:rsidRDefault="0044632C" w:rsidP="0044632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44632C" w:rsidRDefault="0044632C" w:rsidP="00E50F12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</w:p>
    <w:p w:rsidR="001559D0" w:rsidRDefault="0044632C" w:rsidP="00BA10E7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  <w:r w:rsidRPr="0044632C">
        <w:rPr>
          <w:rFonts w:ascii="Arial" w:hAnsi="Arial" w:cs="Arial"/>
          <w:noProof/>
          <w:sz w:val="24"/>
          <w:lang w:eastAsia="hr-HR"/>
        </w:rPr>
        <w:drawing>
          <wp:inline distT="0" distB="0" distL="0" distR="0">
            <wp:extent cx="5690634" cy="4125433"/>
            <wp:effectExtent l="19050" t="0" r="24366" b="8417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59D0" w:rsidRDefault="001559D0" w:rsidP="00E50F12">
      <w:pPr>
        <w:spacing w:after="0" w:line="360" w:lineRule="auto"/>
        <w:ind w:left="360" w:firstLine="348"/>
        <w:jc w:val="both"/>
        <w:rPr>
          <w:rFonts w:ascii="Arial" w:hAnsi="Arial" w:cs="Arial"/>
          <w:sz w:val="24"/>
        </w:rPr>
      </w:pPr>
    </w:p>
    <w:p w:rsidR="001559D0" w:rsidRPr="001559D0" w:rsidRDefault="001559D0" w:rsidP="001559D0">
      <w:pPr>
        <w:rPr>
          <w:rFonts w:ascii="Arial" w:hAnsi="Arial" w:cs="Arial"/>
          <w:sz w:val="24"/>
        </w:rPr>
      </w:pPr>
    </w:p>
    <w:p w:rsidR="001559D0" w:rsidRPr="001559D0" w:rsidRDefault="001559D0" w:rsidP="001559D0">
      <w:pPr>
        <w:rPr>
          <w:rFonts w:ascii="Arial" w:hAnsi="Arial" w:cs="Arial"/>
          <w:sz w:val="24"/>
        </w:rPr>
      </w:pPr>
    </w:p>
    <w:p w:rsidR="001559D0" w:rsidRDefault="001334A0" w:rsidP="00F659D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1559D0" w:rsidRPr="003A2D3B" w:rsidRDefault="001559D0" w:rsidP="003A2D3B">
      <w:pPr>
        <w:pStyle w:val="Naslov1"/>
        <w:numPr>
          <w:ilvl w:val="0"/>
          <w:numId w:val="7"/>
        </w:numPr>
        <w:rPr>
          <w:rFonts w:ascii="Arial" w:hAnsi="Arial" w:cs="Arial"/>
        </w:rPr>
      </w:pPr>
      <w:bookmarkStart w:id="5" w:name="_Toc207145252"/>
      <w:r w:rsidRPr="003A2D3B">
        <w:rPr>
          <w:rFonts w:ascii="Arial" w:hAnsi="Arial" w:cs="Arial"/>
        </w:rPr>
        <w:lastRenderedPageBreak/>
        <w:t>RASHODI I IZDACI</w:t>
      </w:r>
      <w:bookmarkEnd w:id="5"/>
    </w:p>
    <w:p w:rsidR="001559D0" w:rsidRDefault="001559D0" w:rsidP="001559D0">
      <w:pPr>
        <w:rPr>
          <w:rFonts w:ascii="Arial" w:hAnsi="Arial" w:cs="Arial"/>
          <w:sz w:val="24"/>
        </w:rPr>
      </w:pPr>
    </w:p>
    <w:p w:rsidR="001559D0" w:rsidRDefault="00CB1322" w:rsidP="00CB1322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Ukupni rashodi i izdaci povećavaju se predloženim Izmjenama i dopunama za </w:t>
      </w:r>
      <w:r w:rsidR="00D215F9">
        <w:rPr>
          <w:rFonts w:ascii="Arial" w:hAnsi="Arial" w:cs="Arial"/>
          <w:sz w:val="24"/>
        </w:rPr>
        <w:t>49.932,00</w:t>
      </w:r>
      <w:r>
        <w:rPr>
          <w:rFonts w:ascii="Arial" w:hAnsi="Arial" w:cs="Arial"/>
          <w:sz w:val="24"/>
        </w:rPr>
        <w:t xml:space="preserve"> eura, odnosno za </w:t>
      </w:r>
      <w:r w:rsidR="00D215F9">
        <w:rPr>
          <w:rFonts w:ascii="Arial" w:hAnsi="Arial" w:cs="Arial"/>
          <w:sz w:val="24"/>
        </w:rPr>
        <w:t>6,65</w:t>
      </w:r>
      <w:r>
        <w:rPr>
          <w:rFonts w:ascii="Arial" w:hAnsi="Arial" w:cs="Arial"/>
          <w:sz w:val="24"/>
        </w:rPr>
        <w:t xml:space="preserve">% te novim planom oni iznose ukupno </w:t>
      </w:r>
      <w:r w:rsidR="00D215F9">
        <w:rPr>
          <w:rFonts w:ascii="Arial" w:hAnsi="Arial" w:cs="Arial"/>
          <w:sz w:val="24"/>
        </w:rPr>
        <w:t>800.412,00</w:t>
      </w:r>
      <w:r>
        <w:rPr>
          <w:rFonts w:ascii="Arial" w:hAnsi="Arial" w:cs="Arial"/>
          <w:sz w:val="24"/>
        </w:rPr>
        <w:t xml:space="preserve"> eura.</w:t>
      </w:r>
      <w:r w:rsidR="0097188E">
        <w:rPr>
          <w:rFonts w:ascii="Arial" w:hAnsi="Arial" w:cs="Arial"/>
          <w:sz w:val="24"/>
        </w:rPr>
        <w:t xml:space="preserve"> </w:t>
      </w:r>
    </w:p>
    <w:p w:rsidR="00CB1322" w:rsidRDefault="00CB1322" w:rsidP="00CB1322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Prijedlog promjena u iznosima rashoda i izdataka iskazanih prema ekonomskoj klasifikaciji iz Općeg dijela I. Izmjena i dopuna Financijskog plana Osnovne škole Beletinec za 202</w:t>
      </w:r>
      <w:r w:rsidR="00D215F9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. godinu dan je u tablici ispod uz obrazloženja. </w:t>
      </w:r>
    </w:p>
    <w:p w:rsidR="00C77879" w:rsidRDefault="00C77879" w:rsidP="00CB1322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C77879" w:rsidRDefault="00C77879" w:rsidP="00CB1322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  <w:r w:rsidRPr="00C77879">
        <w:rPr>
          <w:rFonts w:ascii="Arial" w:hAnsi="Arial" w:cs="Arial"/>
          <w:b/>
          <w:i/>
          <w:sz w:val="24"/>
        </w:rPr>
        <w:t xml:space="preserve">Tablica 4. </w:t>
      </w:r>
      <w:r w:rsidR="00A42B95">
        <w:rPr>
          <w:rFonts w:ascii="Arial" w:hAnsi="Arial" w:cs="Arial"/>
          <w:sz w:val="24"/>
        </w:rPr>
        <w:t>Rashodi i izdaci Financijskog plana za 202</w:t>
      </w:r>
      <w:r w:rsidR="00D215F9">
        <w:rPr>
          <w:rFonts w:ascii="Arial" w:hAnsi="Arial" w:cs="Arial"/>
          <w:sz w:val="24"/>
        </w:rPr>
        <w:t>5</w:t>
      </w:r>
      <w:r w:rsidR="00A42B95">
        <w:rPr>
          <w:rFonts w:ascii="Arial" w:hAnsi="Arial" w:cs="Arial"/>
          <w:sz w:val="24"/>
        </w:rPr>
        <w:t xml:space="preserve"> godinu prema ekonomskoj klasifikaciji </w:t>
      </w:r>
    </w:p>
    <w:p w:rsidR="00A42B95" w:rsidRDefault="00A42B95" w:rsidP="00CB1322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A42B95" w:rsidRPr="00C77879" w:rsidRDefault="00D215F9" w:rsidP="00CB1322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  <w:r w:rsidRPr="00D215F9">
        <w:rPr>
          <w:noProof/>
          <w:lang w:eastAsia="hr-HR"/>
        </w:rPr>
        <w:drawing>
          <wp:inline distT="0" distB="0" distL="0" distR="0">
            <wp:extent cx="5759820" cy="366823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644" cy="367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9D0" w:rsidRPr="001559D0" w:rsidRDefault="001559D0" w:rsidP="001559D0">
      <w:pPr>
        <w:rPr>
          <w:rFonts w:ascii="Arial" w:hAnsi="Arial" w:cs="Arial"/>
          <w:sz w:val="24"/>
        </w:rPr>
      </w:pPr>
    </w:p>
    <w:p w:rsidR="00A42B95" w:rsidRPr="003A2D3B" w:rsidRDefault="00047335" w:rsidP="003A2D3B">
      <w:pPr>
        <w:pStyle w:val="Naslov2"/>
        <w:rPr>
          <w:rFonts w:ascii="Arial" w:hAnsi="Arial" w:cs="Arial"/>
        </w:rPr>
      </w:pPr>
      <w:bookmarkStart w:id="6" w:name="_Toc207145253"/>
      <w:r w:rsidRPr="003A2D3B">
        <w:rPr>
          <w:rFonts w:ascii="Arial" w:hAnsi="Arial" w:cs="Arial"/>
        </w:rPr>
        <w:t>3.1 RASHODI POSLOVANJA</w:t>
      </w:r>
      <w:bookmarkEnd w:id="6"/>
    </w:p>
    <w:p w:rsidR="00047335" w:rsidRDefault="00047335" w:rsidP="00047335">
      <w:pPr>
        <w:rPr>
          <w:rFonts w:ascii="Arial" w:hAnsi="Arial" w:cs="Arial"/>
          <w:sz w:val="24"/>
        </w:rPr>
      </w:pPr>
    </w:p>
    <w:p w:rsidR="00047335" w:rsidRDefault="00047335" w:rsidP="000473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Ukupni rashodi poslovanja ovim se prijedlogom Izmjena i dopuna Financijskog plana povećavaju za </w:t>
      </w:r>
      <w:r w:rsidR="00D215F9">
        <w:rPr>
          <w:rFonts w:ascii="Arial" w:hAnsi="Arial" w:cs="Arial"/>
          <w:sz w:val="24"/>
        </w:rPr>
        <w:t>22.752,00</w:t>
      </w:r>
      <w:r>
        <w:rPr>
          <w:rFonts w:ascii="Arial" w:hAnsi="Arial" w:cs="Arial"/>
          <w:sz w:val="24"/>
        </w:rPr>
        <w:t xml:space="preserve"> eura tj. za </w:t>
      </w:r>
      <w:r w:rsidR="006C21C9">
        <w:rPr>
          <w:rFonts w:ascii="Arial" w:hAnsi="Arial" w:cs="Arial"/>
          <w:sz w:val="24"/>
        </w:rPr>
        <w:t>3,07</w:t>
      </w:r>
      <w:r>
        <w:rPr>
          <w:rFonts w:ascii="Arial" w:hAnsi="Arial" w:cs="Arial"/>
          <w:sz w:val="24"/>
        </w:rPr>
        <w:t xml:space="preserve">% i novim planom iznose </w:t>
      </w:r>
      <w:r w:rsidR="006C21C9">
        <w:rPr>
          <w:rFonts w:ascii="Arial" w:hAnsi="Arial" w:cs="Arial"/>
          <w:sz w:val="24"/>
        </w:rPr>
        <w:t>764.982</w:t>
      </w:r>
      <w:r>
        <w:rPr>
          <w:rFonts w:ascii="Arial" w:hAnsi="Arial" w:cs="Arial"/>
          <w:sz w:val="24"/>
        </w:rPr>
        <w:t xml:space="preserve">,00 eura. Rashodi poslovanja sastoje se od rashoda za zaposlene, materijalnih rashoda, </w:t>
      </w:r>
      <w:r>
        <w:rPr>
          <w:rFonts w:ascii="Arial" w:hAnsi="Arial" w:cs="Arial"/>
          <w:sz w:val="24"/>
        </w:rPr>
        <w:lastRenderedPageBreak/>
        <w:t>financijskih rashoda, naknada građanima i kućanstvima na temelju osiguranja i druge naknade te ostalih rashoda.</w:t>
      </w:r>
    </w:p>
    <w:p w:rsidR="006C21C9" w:rsidRDefault="00047335" w:rsidP="000473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i/>
          <w:sz w:val="24"/>
        </w:rPr>
        <w:t xml:space="preserve">Rashodi za zaposlene </w:t>
      </w:r>
      <w:r>
        <w:rPr>
          <w:rFonts w:ascii="Arial" w:hAnsi="Arial" w:cs="Arial"/>
          <w:sz w:val="24"/>
        </w:rPr>
        <w:t xml:space="preserve">povećavaju se za </w:t>
      </w:r>
      <w:r w:rsidR="006C21C9">
        <w:rPr>
          <w:rFonts w:ascii="Arial" w:hAnsi="Arial" w:cs="Arial"/>
          <w:sz w:val="24"/>
        </w:rPr>
        <w:t>3.644,00</w:t>
      </w:r>
      <w:r>
        <w:rPr>
          <w:rFonts w:ascii="Arial" w:hAnsi="Arial" w:cs="Arial"/>
          <w:sz w:val="24"/>
        </w:rPr>
        <w:t xml:space="preserve"> eura i oni iznose </w:t>
      </w:r>
      <w:r w:rsidR="006C21C9">
        <w:rPr>
          <w:rFonts w:ascii="Arial" w:hAnsi="Arial" w:cs="Arial"/>
          <w:sz w:val="24"/>
        </w:rPr>
        <w:t>620.264,00</w:t>
      </w:r>
      <w:r>
        <w:rPr>
          <w:rFonts w:ascii="Arial" w:hAnsi="Arial" w:cs="Arial"/>
          <w:sz w:val="24"/>
        </w:rPr>
        <w:t xml:space="preserve"> eura što iznosi povećanje od </w:t>
      </w:r>
      <w:r w:rsidR="006C21C9">
        <w:rPr>
          <w:rFonts w:ascii="Arial" w:hAnsi="Arial" w:cs="Arial"/>
          <w:sz w:val="24"/>
        </w:rPr>
        <w:t>0,59</w:t>
      </w:r>
      <w:r>
        <w:rPr>
          <w:rFonts w:ascii="Arial" w:hAnsi="Arial" w:cs="Arial"/>
          <w:sz w:val="24"/>
        </w:rPr>
        <w:t>%.</w:t>
      </w:r>
      <w:r w:rsidR="006C21C9">
        <w:rPr>
          <w:rFonts w:ascii="Arial" w:hAnsi="Arial" w:cs="Arial"/>
          <w:sz w:val="24"/>
        </w:rPr>
        <w:t xml:space="preserve"> Ovo povećanje odnosi se na isplate materijalnih prava zaposlenika.</w:t>
      </w:r>
    </w:p>
    <w:p w:rsidR="00782D8F" w:rsidRDefault="00273106" w:rsidP="000473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i/>
          <w:sz w:val="24"/>
        </w:rPr>
        <w:t xml:space="preserve">Materijalni rashodi </w:t>
      </w:r>
      <w:r>
        <w:rPr>
          <w:rFonts w:ascii="Arial" w:hAnsi="Arial" w:cs="Arial"/>
          <w:sz w:val="24"/>
        </w:rPr>
        <w:t xml:space="preserve">uvećani su za </w:t>
      </w:r>
      <w:r w:rsidR="006C21C9">
        <w:rPr>
          <w:rFonts w:ascii="Arial" w:hAnsi="Arial" w:cs="Arial"/>
          <w:sz w:val="24"/>
        </w:rPr>
        <w:t>18.778,00</w:t>
      </w:r>
      <w:r>
        <w:rPr>
          <w:rFonts w:ascii="Arial" w:hAnsi="Arial" w:cs="Arial"/>
          <w:sz w:val="24"/>
        </w:rPr>
        <w:t xml:space="preserve"> eura odnosno za </w:t>
      </w:r>
      <w:r w:rsidR="006C21C9">
        <w:rPr>
          <w:rFonts w:ascii="Arial" w:hAnsi="Arial" w:cs="Arial"/>
          <w:sz w:val="24"/>
        </w:rPr>
        <w:t>15,38</w:t>
      </w:r>
      <w:r>
        <w:rPr>
          <w:rFonts w:ascii="Arial" w:hAnsi="Arial" w:cs="Arial"/>
          <w:sz w:val="24"/>
        </w:rPr>
        <w:t>%</w:t>
      </w:r>
      <w:r w:rsidR="00782D8F">
        <w:rPr>
          <w:rFonts w:ascii="Arial" w:hAnsi="Arial" w:cs="Arial"/>
          <w:sz w:val="24"/>
        </w:rPr>
        <w:t xml:space="preserve"> i oni ovim izmjenama i dopunama financijskog plana sada iznose 140.888,00 eura</w:t>
      </w:r>
      <w:r w:rsidR="00CB6AF1">
        <w:rPr>
          <w:rFonts w:ascii="Arial" w:hAnsi="Arial" w:cs="Arial"/>
          <w:sz w:val="24"/>
        </w:rPr>
        <w:t xml:space="preserve"> .O</w:t>
      </w:r>
      <w:r>
        <w:rPr>
          <w:rFonts w:ascii="Arial" w:hAnsi="Arial" w:cs="Arial"/>
          <w:sz w:val="24"/>
        </w:rPr>
        <w:t>d navedenog iznosa</w:t>
      </w:r>
      <w:r w:rsidR="00782D8F">
        <w:rPr>
          <w:rFonts w:ascii="Arial" w:hAnsi="Arial" w:cs="Arial"/>
          <w:sz w:val="24"/>
        </w:rPr>
        <w:t xml:space="preserve"> povećanja</w:t>
      </w:r>
      <w:r w:rsidR="00C35B30">
        <w:rPr>
          <w:rFonts w:ascii="Arial" w:hAnsi="Arial" w:cs="Arial"/>
          <w:sz w:val="24"/>
        </w:rPr>
        <w:t xml:space="preserve">, iznos od 166,00 eura odnosi se na objavu oglasa u Varaždinskom vjesniku o provedbi projekta građanskog odgoja. Iznos od 4.510,00 eura odnosi se na montažu i ugradnju novih ulaznih PVC vrata i rekonstrukciju postojećih ulaza i izlaza u školu, a u skladu s Planom sigurnosti školske ustanove. </w:t>
      </w:r>
      <w:r>
        <w:rPr>
          <w:rFonts w:ascii="Arial" w:hAnsi="Arial" w:cs="Arial"/>
          <w:sz w:val="24"/>
        </w:rPr>
        <w:t xml:space="preserve"> </w:t>
      </w:r>
      <w:r w:rsidR="00C35B30">
        <w:rPr>
          <w:rFonts w:ascii="Arial" w:hAnsi="Arial" w:cs="Arial"/>
          <w:sz w:val="24"/>
        </w:rPr>
        <w:t>Iznos od 563,00 eura odnosi se na izradu Procjene postojećeg stanja i analize rizika školske ustanove</w:t>
      </w:r>
      <w:r w:rsidR="006A7F74">
        <w:rPr>
          <w:rFonts w:ascii="Arial" w:hAnsi="Arial" w:cs="Arial"/>
          <w:sz w:val="24"/>
        </w:rPr>
        <w:t>, a iznos</w:t>
      </w:r>
      <w:r w:rsidR="00C35B30">
        <w:rPr>
          <w:rFonts w:ascii="Arial" w:hAnsi="Arial" w:cs="Arial"/>
          <w:sz w:val="24"/>
        </w:rPr>
        <w:t xml:space="preserve"> od 100,00 eura odnosi se na prijevoz učenika na </w:t>
      </w:r>
      <w:r w:rsidR="00547AA1">
        <w:rPr>
          <w:rFonts w:ascii="Arial" w:hAnsi="Arial" w:cs="Arial"/>
          <w:sz w:val="24"/>
        </w:rPr>
        <w:t xml:space="preserve">kampanju </w:t>
      </w:r>
      <w:r w:rsidR="00C35B30">
        <w:rPr>
          <w:rFonts w:ascii="Arial" w:hAnsi="Arial" w:cs="Arial"/>
          <w:sz w:val="24"/>
        </w:rPr>
        <w:t>„Smanj</w:t>
      </w:r>
      <w:r w:rsidR="00547AA1">
        <w:rPr>
          <w:rFonts w:ascii="Arial" w:hAnsi="Arial" w:cs="Arial"/>
          <w:sz w:val="24"/>
        </w:rPr>
        <w:t>enje rizika od katastrofa“</w:t>
      </w:r>
      <w:r w:rsidR="006A7F74">
        <w:rPr>
          <w:rFonts w:ascii="Arial" w:hAnsi="Arial" w:cs="Arial"/>
          <w:sz w:val="24"/>
        </w:rPr>
        <w:t xml:space="preserve">. </w:t>
      </w:r>
      <w:r w:rsidR="00F304E4">
        <w:rPr>
          <w:rFonts w:ascii="Arial" w:hAnsi="Arial" w:cs="Arial"/>
          <w:sz w:val="24"/>
        </w:rPr>
        <w:t>Ujedno, za provođenje natjecanja iz engleskog jezika, uvećani su materijalni rashodi za 536,00 eura.</w:t>
      </w:r>
      <w:r w:rsidR="00782D8F">
        <w:rPr>
          <w:rFonts w:ascii="Arial" w:hAnsi="Arial" w:cs="Arial"/>
          <w:sz w:val="24"/>
        </w:rPr>
        <w:t xml:space="preserve"> </w:t>
      </w:r>
      <w:r w:rsidR="006A7F74">
        <w:rPr>
          <w:rFonts w:ascii="Arial" w:hAnsi="Arial" w:cs="Arial"/>
          <w:sz w:val="24"/>
        </w:rPr>
        <w:t>Ostatak povećanja odnosi se na rashode financirane iz proračuna Varaždinske županije za financiranje redovne djelatnosti škole</w:t>
      </w:r>
      <w:r w:rsidR="00782D8F">
        <w:rPr>
          <w:rFonts w:ascii="Arial" w:hAnsi="Arial" w:cs="Arial"/>
          <w:sz w:val="24"/>
        </w:rPr>
        <w:t xml:space="preserve"> te na financiranje rashoda iz vlastitih izvora, školske prehrane učenika i provedbe projekta Čuvari riječi</w:t>
      </w:r>
      <w:r w:rsidR="006A7F74">
        <w:rPr>
          <w:rFonts w:ascii="Arial" w:hAnsi="Arial" w:cs="Arial"/>
          <w:sz w:val="24"/>
        </w:rPr>
        <w:t>.</w:t>
      </w:r>
    </w:p>
    <w:p w:rsidR="004367FC" w:rsidRDefault="004367FC" w:rsidP="000473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Na </w:t>
      </w:r>
      <w:r>
        <w:rPr>
          <w:rFonts w:ascii="Arial" w:hAnsi="Arial" w:cs="Arial"/>
          <w:b/>
          <w:i/>
          <w:sz w:val="24"/>
        </w:rPr>
        <w:t xml:space="preserve">financijskim rashodima </w:t>
      </w:r>
      <w:r>
        <w:rPr>
          <w:rFonts w:ascii="Arial" w:hAnsi="Arial" w:cs="Arial"/>
          <w:sz w:val="24"/>
        </w:rPr>
        <w:t xml:space="preserve">nije došlo do promjene ovim izmjenama i dopunama financijskog plana te su oni ostali isti i iznose 700,00 eura. </w:t>
      </w:r>
    </w:p>
    <w:p w:rsidR="004367FC" w:rsidRDefault="004367FC" w:rsidP="000473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i/>
          <w:sz w:val="24"/>
        </w:rPr>
        <w:t xml:space="preserve">Naknade građanima i kućanstvima na temelju osiguranja i druge naknade </w:t>
      </w:r>
      <w:r>
        <w:rPr>
          <w:rFonts w:ascii="Arial" w:hAnsi="Arial" w:cs="Arial"/>
          <w:sz w:val="24"/>
        </w:rPr>
        <w:t xml:space="preserve">došlo je do uvećanja plana u iznosu od </w:t>
      </w:r>
      <w:r w:rsidR="00782D8F">
        <w:rPr>
          <w:rFonts w:ascii="Arial" w:hAnsi="Arial" w:cs="Arial"/>
          <w:sz w:val="24"/>
        </w:rPr>
        <w:t>350,00</w:t>
      </w:r>
      <w:r>
        <w:rPr>
          <w:rFonts w:ascii="Arial" w:hAnsi="Arial" w:cs="Arial"/>
          <w:sz w:val="24"/>
        </w:rPr>
        <w:t xml:space="preserve"> eura tj. za </w:t>
      </w:r>
      <w:r w:rsidR="00782D8F">
        <w:rPr>
          <w:rFonts w:ascii="Arial" w:hAnsi="Arial" w:cs="Arial"/>
          <w:sz w:val="24"/>
        </w:rPr>
        <w:t>13,21</w:t>
      </w:r>
      <w:r>
        <w:rPr>
          <w:rFonts w:ascii="Arial" w:hAnsi="Arial" w:cs="Arial"/>
          <w:sz w:val="24"/>
        </w:rPr>
        <w:t xml:space="preserve">% u odnosu na prvobitni plan. Ovi rashodi financiraju se iz nadležnog Ministarstva, a odnose na financiranje udžbenika učenicima škole. </w:t>
      </w:r>
    </w:p>
    <w:p w:rsidR="004367FC" w:rsidRDefault="004367FC" w:rsidP="000473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i/>
          <w:sz w:val="24"/>
        </w:rPr>
        <w:t xml:space="preserve">Ostali rashodi </w:t>
      </w:r>
      <w:r>
        <w:rPr>
          <w:rFonts w:ascii="Arial" w:hAnsi="Arial" w:cs="Arial"/>
          <w:sz w:val="24"/>
        </w:rPr>
        <w:t xml:space="preserve">ovim izmjenama i dopunama planirani su u iznosu od </w:t>
      </w:r>
      <w:r w:rsidR="00782D8F">
        <w:rPr>
          <w:rFonts w:ascii="Arial" w:hAnsi="Arial" w:cs="Arial"/>
          <w:sz w:val="24"/>
        </w:rPr>
        <w:t>130</w:t>
      </w:r>
      <w:r>
        <w:rPr>
          <w:rFonts w:ascii="Arial" w:hAnsi="Arial" w:cs="Arial"/>
          <w:sz w:val="24"/>
        </w:rPr>
        <w:t>,00 eura. Planirani s</w:t>
      </w:r>
      <w:r w:rsidR="00782D8F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rashodi </w:t>
      </w:r>
      <w:r w:rsidR="00782D8F">
        <w:rPr>
          <w:rFonts w:ascii="Arial" w:hAnsi="Arial" w:cs="Arial"/>
          <w:sz w:val="24"/>
        </w:rPr>
        <w:t>odnose na nabavu</w:t>
      </w:r>
      <w:r>
        <w:rPr>
          <w:rFonts w:ascii="Arial" w:hAnsi="Arial" w:cs="Arial"/>
          <w:sz w:val="24"/>
        </w:rPr>
        <w:t xml:space="preserve"> menstrualn</w:t>
      </w:r>
      <w:r w:rsidR="00782D8F">
        <w:rPr>
          <w:rFonts w:ascii="Arial" w:hAnsi="Arial" w:cs="Arial"/>
          <w:sz w:val="24"/>
        </w:rPr>
        <w:t>ih</w:t>
      </w:r>
      <w:r>
        <w:rPr>
          <w:rFonts w:ascii="Arial" w:hAnsi="Arial" w:cs="Arial"/>
          <w:sz w:val="24"/>
        </w:rPr>
        <w:t xml:space="preserve"> higijensk</w:t>
      </w:r>
      <w:r w:rsidR="00782D8F">
        <w:rPr>
          <w:rFonts w:ascii="Arial" w:hAnsi="Arial" w:cs="Arial"/>
          <w:sz w:val="24"/>
        </w:rPr>
        <w:t>ih</w:t>
      </w:r>
      <w:r>
        <w:rPr>
          <w:rFonts w:ascii="Arial" w:hAnsi="Arial" w:cs="Arial"/>
          <w:sz w:val="24"/>
        </w:rPr>
        <w:t xml:space="preserve"> potrepštin</w:t>
      </w:r>
      <w:r w:rsidR="00782D8F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učenicama škole koje će i ove godine financirati Ministarstvo rada. </w:t>
      </w:r>
    </w:p>
    <w:p w:rsidR="004367FC" w:rsidRDefault="004367FC" w:rsidP="00047335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4367FC" w:rsidRDefault="004367FC" w:rsidP="00047335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A2D3B" w:rsidRDefault="003A2D3B" w:rsidP="00047335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A2D3B" w:rsidRDefault="003A2D3B" w:rsidP="00047335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A2D3B" w:rsidRDefault="003A2D3B" w:rsidP="00047335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4367FC" w:rsidRPr="003A2D3B" w:rsidRDefault="004367FC" w:rsidP="003A2D3B">
      <w:pPr>
        <w:pStyle w:val="Naslov2"/>
        <w:rPr>
          <w:rFonts w:ascii="Arial" w:hAnsi="Arial" w:cs="Arial"/>
        </w:rPr>
      </w:pPr>
      <w:bookmarkStart w:id="7" w:name="_Toc207145254"/>
      <w:r w:rsidRPr="003A2D3B">
        <w:rPr>
          <w:rFonts w:ascii="Arial" w:hAnsi="Arial" w:cs="Arial"/>
        </w:rPr>
        <w:lastRenderedPageBreak/>
        <w:t>3.2 RASHODI ZA NABAVU NEFINANCIJSKE IMOVINE</w:t>
      </w:r>
      <w:bookmarkEnd w:id="7"/>
      <w:r w:rsidRPr="003A2D3B">
        <w:rPr>
          <w:rFonts w:ascii="Arial" w:hAnsi="Arial" w:cs="Arial"/>
        </w:rPr>
        <w:t xml:space="preserve"> </w:t>
      </w:r>
    </w:p>
    <w:p w:rsidR="004367FC" w:rsidRDefault="004367FC" w:rsidP="00047335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00AF5" w:rsidRDefault="004367FC" w:rsidP="000473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Ovim Izmjenama i dopunama Financijskog plana škole predlaže se povećanje rashoda za nabavu nefinancijske imovine u iznosu od </w:t>
      </w:r>
      <w:r w:rsidR="00782D8F">
        <w:rPr>
          <w:rFonts w:ascii="Arial" w:hAnsi="Arial" w:cs="Arial"/>
          <w:sz w:val="24"/>
        </w:rPr>
        <w:t>27.180,00</w:t>
      </w:r>
      <w:r>
        <w:rPr>
          <w:rFonts w:ascii="Arial" w:hAnsi="Arial" w:cs="Arial"/>
          <w:sz w:val="24"/>
        </w:rPr>
        <w:t xml:space="preserve"> eura</w:t>
      </w:r>
      <w:r w:rsidR="00E00AF5">
        <w:rPr>
          <w:rFonts w:ascii="Arial" w:hAnsi="Arial" w:cs="Arial"/>
          <w:sz w:val="24"/>
        </w:rPr>
        <w:t xml:space="preserve"> što je uvećanje za </w:t>
      </w:r>
      <w:r w:rsidR="00782D8F">
        <w:rPr>
          <w:rFonts w:ascii="Arial" w:hAnsi="Arial" w:cs="Arial"/>
          <w:sz w:val="24"/>
        </w:rPr>
        <w:t>329,45</w:t>
      </w:r>
      <w:r w:rsidR="00E00AF5">
        <w:rPr>
          <w:rFonts w:ascii="Arial" w:hAnsi="Arial" w:cs="Arial"/>
          <w:sz w:val="24"/>
        </w:rPr>
        <w:t>% u odnosu na tekuć</w:t>
      </w:r>
      <w:r w:rsidR="00782D8F">
        <w:rPr>
          <w:rFonts w:ascii="Arial" w:hAnsi="Arial" w:cs="Arial"/>
          <w:sz w:val="24"/>
        </w:rPr>
        <w:t>i plan i on sada iznosi 35.430,00 eura</w:t>
      </w:r>
      <w:r w:rsidR="00E00AF5">
        <w:rPr>
          <w:rFonts w:ascii="Arial" w:hAnsi="Arial" w:cs="Arial"/>
          <w:sz w:val="24"/>
        </w:rPr>
        <w:t xml:space="preserve">. </w:t>
      </w:r>
    </w:p>
    <w:p w:rsidR="004B34A9" w:rsidRDefault="00E00AF5" w:rsidP="000473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Tako su </w:t>
      </w:r>
      <w:r w:rsidRPr="00E00AF5">
        <w:rPr>
          <w:rFonts w:ascii="Arial" w:hAnsi="Arial" w:cs="Arial"/>
          <w:b/>
          <w:i/>
          <w:sz w:val="24"/>
        </w:rPr>
        <w:t>rashodi za nabavu proizvedene dugotrajne imovine</w:t>
      </w:r>
      <w:r>
        <w:rPr>
          <w:rFonts w:ascii="Arial" w:hAnsi="Arial" w:cs="Arial"/>
          <w:sz w:val="24"/>
        </w:rPr>
        <w:t xml:space="preserve"> </w:t>
      </w:r>
      <w:r w:rsidR="00782D8F">
        <w:rPr>
          <w:rFonts w:ascii="Arial" w:hAnsi="Arial" w:cs="Arial"/>
          <w:sz w:val="24"/>
        </w:rPr>
        <w:t xml:space="preserve">uvećani za 25.563,00 eura što iznosi povećanje od 313,66%. Ovo povećanje odnosi se na nabavu računalne opreme za informatičke učionice, nabavu </w:t>
      </w:r>
      <w:r w:rsidR="004B34A9">
        <w:rPr>
          <w:rFonts w:ascii="Arial" w:hAnsi="Arial" w:cs="Arial"/>
          <w:sz w:val="24"/>
        </w:rPr>
        <w:t xml:space="preserve">školske lektire za provedbu projekta Čuvari riječi, uređenje školskog dvorišta nabavkom dječjeg igrališta i garniture za sjedenje, vrtne kućice i novog namještaja za učionice. Ujedno, po provedbi projekta Građanskog odgoja nabavljeni je novi sustav razglasa i školskog zvona. Također, ovi rashodi uvećani su i za iznos potrebe nabave sustava </w:t>
      </w:r>
      <w:proofErr w:type="spellStart"/>
      <w:r w:rsidR="004B34A9">
        <w:rPr>
          <w:rFonts w:ascii="Arial" w:hAnsi="Arial" w:cs="Arial"/>
          <w:sz w:val="24"/>
        </w:rPr>
        <w:t>videondazora</w:t>
      </w:r>
      <w:proofErr w:type="spellEnd"/>
      <w:r w:rsidR="004B34A9">
        <w:rPr>
          <w:rFonts w:ascii="Arial" w:hAnsi="Arial" w:cs="Arial"/>
          <w:sz w:val="24"/>
        </w:rPr>
        <w:t xml:space="preserve"> u skladu s Planom sigurnosti škole.</w:t>
      </w:r>
    </w:p>
    <w:p w:rsidR="00E00AF5" w:rsidRDefault="00E00AF5" w:rsidP="000473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Ujedno predlaže se uvećanje </w:t>
      </w:r>
      <w:r>
        <w:rPr>
          <w:rFonts w:ascii="Arial" w:hAnsi="Arial" w:cs="Arial"/>
          <w:b/>
          <w:i/>
          <w:sz w:val="24"/>
        </w:rPr>
        <w:t xml:space="preserve">Rashoda za dodatna ulaganja na nefinancijskoj imovini </w:t>
      </w:r>
      <w:r>
        <w:rPr>
          <w:rFonts w:ascii="Arial" w:hAnsi="Arial" w:cs="Arial"/>
          <w:sz w:val="24"/>
        </w:rPr>
        <w:t xml:space="preserve">u iznosu od </w:t>
      </w:r>
      <w:r w:rsidR="004B34A9">
        <w:rPr>
          <w:rFonts w:ascii="Arial" w:hAnsi="Arial" w:cs="Arial"/>
          <w:sz w:val="24"/>
        </w:rPr>
        <w:t>1.617,00</w:t>
      </w:r>
      <w:r>
        <w:rPr>
          <w:rFonts w:ascii="Arial" w:hAnsi="Arial" w:cs="Arial"/>
          <w:sz w:val="24"/>
        </w:rPr>
        <w:t xml:space="preserve"> eura zbog </w:t>
      </w:r>
      <w:r w:rsidR="00AE44B0">
        <w:rPr>
          <w:rFonts w:ascii="Arial" w:hAnsi="Arial" w:cs="Arial"/>
          <w:sz w:val="24"/>
        </w:rPr>
        <w:t xml:space="preserve">ugradnja novog sustava </w:t>
      </w:r>
      <w:proofErr w:type="spellStart"/>
      <w:r w:rsidR="00AE44B0">
        <w:rPr>
          <w:rFonts w:ascii="Arial" w:hAnsi="Arial" w:cs="Arial"/>
          <w:sz w:val="24"/>
        </w:rPr>
        <w:t>videonadzora</w:t>
      </w:r>
      <w:proofErr w:type="spellEnd"/>
      <w:r w:rsidR="00AE44B0">
        <w:rPr>
          <w:rFonts w:ascii="Arial" w:hAnsi="Arial" w:cs="Arial"/>
          <w:sz w:val="24"/>
        </w:rPr>
        <w:t xml:space="preserve">, a u skladu s Planom sigurnosti školske ustanove. </w:t>
      </w:r>
    </w:p>
    <w:p w:rsidR="000B021D" w:rsidRDefault="000B021D" w:rsidP="00047335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B021D" w:rsidRDefault="00A261B6" w:rsidP="000473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Grafikonom ispod prikazani su rashodi i izdaci ovih izmjena i dopuna financijskog plana</w:t>
      </w:r>
      <w:r w:rsidR="00783C38">
        <w:rPr>
          <w:rFonts w:ascii="Arial" w:hAnsi="Arial" w:cs="Arial"/>
          <w:sz w:val="24"/>
        </w:rPr>
        <w:t xml:space="preserve"> škole</w:t>
      </w:r>
      <w:r>
        <w:rPr>
          <w:rFonts w:ascii="Arial" w:hAnsi="Arial" w:cs="Arial"/>
          <w:sz w:val="24"/>
        </w:rPr>
        <w:t xml:space="preserve"> te je vidljivo da najveći udio u ukupnim rashodima imaju rashodi za zaposlene s </w:t>
      </w:r>
      <w:r w:rsidR="00E56B0D">
        <w:rPr>
          <w:rFonts w:ascii="Arial" w:hAnsi="Arial" w:cs="Arial"/>
          <w:sz w:val="24"/>
        </w:rPr>
        <w:t>77,49</w:t>
      </w:r>
      <w:r>
        <w:rPr>
          <w:rFonts w:ascii="Arial" w:hAnsi="Arial" w:cs="Arial"/>
          <w:sz w:val="24"/>
        </w:rPr>
        <w:t xml:space="preserve">%. </w:t>
      </w:r>
    </w:p>
    <w:p w:rsidR="004367FC" w:rsidRDefault="00E56B0D" w:rsidP="0004733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6029325" cy="3999230"/>
            <wp:effectExtent l="0" t="0" r="0" b="0"/>
            <wp:wrapTopAndBottom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99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021D">
        <w:rPr>
          <w:rFonts w:ascii="Arial" w:hAnsi="Arial" w:cs="Arial"/>
          <w:sz w:val="24"/>
        </w:rPr>
        <w:tab/>
      </w:r>
    </w:p>
    <w:p w:rsidR="0041650D" w:rsidRPr="003A2D3B" w:rsidRDefault="0041650D" w:rsidP="003A2D3B">
      <w:pPr>
        <w:pStyle w:val="Naslov2"/>
        <w:rPr>
          <w:rFonts w:ascii="Arial" w:hAnsi="Arial" w:cs="Arial"/>
        </w:rPr>
      </w:pPr>
      <w:bookmarkStart w:id="8" w:name="_Toc207145255"/>
      <w:r w:rsidRPr="003A2D3B">
        <w:rPr>
          <w:rFonts w:ascii="Arial" w:hAnsi="Arial" w:cs="Arial"/>
        </w:rPr>
        <w:lastRenderedPageBreak/>
        <w:t>3.3 RASHODI PREMA IZVORIMA FINANCIRANJA</w:t>
      </w:r>
      <w:bookmarkEnd w:id="8"/>
      <w:r w:rsidRPr="003A2D3B">
        <w:rPr>
          <w:rFonts w:ascii="Arial" w:hAnsi="Arial" w:cs="Arial"/>
        </w:rPr>
        <w:t xml:space="preserve"> </w:t>
      </w:r>
    </w:p>
    <w:p w:rsidR="003D1AB9" w:rsidRDefault="003D1AB9" w:rsidP="003D1AB9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D1AB9" w:rsidRDefault="003D1AB9" w:rsidP="003D1AB9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U nastavku, tablicom ispod, dani je prikaz rashoda i izdataka financijskog plana prema osnovnim izvorima financiranja, kao i promjene nastale na istima kroz ove izmjene i dopune financijskog plana.</w:t>
      </w:r>
    </w:p>
    <w:p w:rsidR="003D1AB9" w:rsidRDefault="003D1AB9" w:rsidP="00047335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D1AB9" w:rsidRDefault="003D1AB9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  <w:r w:rsidRPr="00C77879">
        <w:rPr>
          <w:rFonts w:ascii="Arial" w:hAnsi="Arial" w:cs="Arial"/>
          <w:b/>
          <w:i/>
          <w:sz w:val="24"/>
        </w:rPr>
        <w:t xml:space="preserve">Tablica </w:t>
      </w:r>
      <w:r>
        <w:rPr>
          <w:rFonts w:ascii="Arial" w:hAnsi="Arial" w:cs="Arial"/>
          <w:b/>
          <w:i/>
          <w:sz w:val="24"/>
        </w:rPr>
        <w:t>5</w:t>
      </w:r>
      <w:r w:rsidRPr="00C77879">
        <w:rPr>
          <w:rFonts w:ascii="Arial" w:hAnsi="Arial" w:cs="Arial"/>
          <w:b/>
          <w:i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Rashodi i izdaci Financijskog plana za 2025 godinu prema izvorima financiranja </w:t>
      </w:r>
    </w:p>
    <w:p w:rsidR="0041650D" w:rsidRDefault="0041650D" w:rsidP="00047335">
      <w:pPr>
        <w:spacing w:after="0" w:line="360" w:lineRule="auto"/>
        <w:jc w:val="both"/>
        <w:rPr>
          <w:rFonts w:ascii="Arial" w:hAnsi="Arial" w:cs="Arial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15"/>
        <w:gridCol w:w="2215"/>
        <w:gridCol w:w="2644"/>
        <w:gridCol w:w="2214"/>
      </w:tblGrid>
      <w:tr w:rsidR="0041650D" w:rsidRPr="0041650D" w:rsidTr="003D1AB9">
        <w:trPr>
          <w:trHeight w:val="750"/>
        </w:trPr>
        <w:tc>
          <w:tcPr>
            <w:tcW w:w="1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:rsidR="0041650D" w:rsidRPr="0041650D" w:rsidRDefault="0041650D" w:rsidP="0041650D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16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Oznaka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:rsidR="0041650D" w:rsidRPr="0041650D" w:rsidRDefault="0041650D" w:rsidP="0041650D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16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Plan 2025. (1.)</w:t>
            </w:r>
          </w:p>
        </w:tc>
        <w:tc>
          <w:tcPr>
            <w:tcW w:w="1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:rsidR="0041650D" w:rsidRPr="0041650D" w:rsidRDefault="0041650D" w:rsidP="0041650D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16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Povećanje/smanjenje (2.)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:rsidR="0041650D" w:rsidRPr="0041650D" w:rsidRDefault="0041650D" w:rsidP="0041650D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16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Novi plan 2025. (3.)</w:t>
            </w:r>
          </w:p>
        </w:tc>
      </w:tr>
      <w:tr w:rsidR="003D1AB9" w:rsidRPr="003D1AB9" w:rsidTr="003D1AB9">
        <w:trPr>
          <w:trHeight w:val="750"/>
        </w:trPr>
        <w:tc>
          <w:tcPr>
            <w:tcW w:w="1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Izvor: 11 Opći prihodi i primici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16.580,00</w:t>
            </w:r>
          </w:p>
        </w:tc>
        <w:tc>
          <w:tcPr>
            <w:tcW w:w="1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-4.680,00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11.900,00</w:t>
            </w:r>
          </w:p>
        </w:tc>
      </w:tr>
      <w:tr w:rsidR="003D1AB9" w:rsidRPr="003D1AB9" w:rsidTr="003D1AB9">
        <w:trPr>
          <w:trHeight w:val="750"/>
        </w:trPr>
        <w:tc>
          <w:tcPr>
            <w:tcW w:w="1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Izvor: 31 Vlastiti prihodi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2.100,00</w:t>
            </w:r>
          </w:p>
        </w:tc>
        <w:tc>
          <w:tcPr>
            <w:tcW w:w="1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3.400,00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5.500,00</w:t>
            </w:r>
          </w:p>
        </w:tc>
      </w:tr>
      <w:tr w:rsidR="003D1AB9" w:rsidRPr="003D1AB9" w:rsidTr="003D1AB9">
        <w:trPr>
          <w:trHeight w:val="750"/>
        </w:trPr>
        <w:tc>
          <w:tcPr>
            <w:tcW w:w="1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Izvor: 43 Ostali prihodi za posebne namjene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24.000,00</w:t>
            </w:r>
          </w:p>
        </w:tc>
        <w:tc>
          <w:tcPr>
            <w:tcW w:w="1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7.409,00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31.409,00</w:t>
            </w:r>
          </w:p>
        </w:tc>
      </w:tr>
      <w:tr w:rsidR="003D1AB9" w:rsidRPr="003D1AB9" w:rsidTr="003D1AB9">
        <w:trPr>
          <w:trHeight w:val="750"/>
        </w:trPr>
        <w:tc>
          <w:tcPr>
            <w:tcW w:w="1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Izvor: 44 Decentralizirana sredstva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50.400,00</w:t>
            </w:r>
          </w:p>
        </w:tc>
        <w:tc>
          <w:tcPr>
            <w:tcW w:w="1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29.667,00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80.067,00</w:t>
            </w:r>
          </w:p>
        </w:tc>
      </w:tr>
      <w:tr w:rsidR="003D1AB9" w:rsidRPr="003D1AB9" w:rsidTr="003D1AB9">
        <w:trPr>
          <w:trHeight w:val="750"/>
        </w:trPr>
        <w:tc>
          <w:tcPr>
            <w:tcW w:w="1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Izvor: 52 Ostale pomoći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655.700,00</w:t>
            </w:r>
          </w:p>
        </w:tc>
        <w:tc>
          <w:tcPr>
            <w:tcW w:w="1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13.430,00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669.130,00</w:t>
            </w:r>
          </w:p>
        </w:tc>
      </w:tr>
      <w:tr w:rsidR="003D1AB9" w:rsidRPr="003D1AB9" w:rsidTr="003D1AB9">
        <w:trPr>
          <w:trHeight w:val="750"/>
        </w:trPr>
        <w:tc>
          <w:tcPr>
            <w:tcW w:w="1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Izvor: 61 Donacije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1.700,00</w:t>
            </w:r>
          </w:p>
        </w:tc>
        <w:tc>
          <w:tcPr>
            <w:tcW w:w="1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706,00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2.406,00</w:t>
            </w:r>
          </w:p>
        </w:tc>
      </w:tr>
      <w:tr w:rsidR="003D1AB9" w:rsidRPr="003D1AB9" w:rsidTr="003D1AB9">
        <w:trPr>
          <w:trHeight w:val="750"/>
        </w:trPr>
        <w:tc>
          <w:tcPr>
            <w:tcW w:w="1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SVEUKUPNO RASHODI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750.480,00</w:t>
            </w:r>
          </w:p>
        </w:tc>
        <w:tc>
          <w:tcPr>
            <w:tcW w:w="1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49.932,00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:rsidR="003D1AB9" w:rsidRPr="003D1AB9" w:rsidRDefault="003D1AB9" w:rsidP="003D1AB9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1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800.412,00</w:t>
            </w:r>
          </w:p>
        </w:tc>
      </w:tr>
    </w:tbl>
    <w:p w:rsidR="0041650D" w:rsidRPr="004367FC" w:rsidRDefault="0041650D" w:rsidP="00047335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D1AB9" w:rsidRDefault="003D1AB9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Iz </w:t>
      </w:r>
      <w:r w:rsidRPr="00EE0C30">
        <w:rPr>
          <w:rFonts w:ascii="Arial" w:hAnsi="Arial" w:cs="Arial"/>
          <w:b/>
          <w:i/>
          <w:sz w:val="24"/>
        </w:rPr>
        <w:t xml:space="preserve">tablice </w:t>
      </w:r>
      <w:r>
        <w:rPr>
          <w:rFonts w:ascii="Arial" w:hAnsi="Arial" w:cs="Arial"/>
          <w:b/>
          <w:i/>
          <w:sz w:val="24"/>
        </w:rPr>
        <w:t>5</w:t>
      </w:r>
      <w:r>
        <w:rPr>
          <w:rFonts w:ascii="Arial" w:hAnsi="Arial" w:cs="Arial"/>
          <w:sz w:val="24"/>
        </w:rPr>
        <w:t>. vidljivo je da se najveća promjena tj. uvećanje financijskog plana odnosi na izvor 44 Decentralizirana sredstva u i</w:t>
      </w:r>
      <w:r w:rsidR="0081339C">
        <w:rPr>
          <w:rFonts w:ascii="Arial" w:hAnsi="Arial" w:cs="Arial"/>
          <w:sz w:val="24"/>
        </w:rPr>
        <w:t>znosu od 29.667,00 eura</w:t>
      </w:r>
      <w:r>
        <w:rPr>
          <w:rFonts w:ascii="Arial" w:hAnsi="Arial" w:cs="Arial"/>
          <w:sz w:val="24"/>
        </w:rPr>
        <w:t>.  Na ovom izvoru planirani su rashodi potrebni za provo</w:t>
      </w:r>
      <w:r w:rsidR="0081339C">
        <w:rPr>
          <w:rFonts w:ascii="Arial" w:hAnsi="Arial" w:cs="Arial"/>
          <w:sz w:val="24"/>
        </w:rPr>
        <w:t xml:space="preserve">đenje </w:t>
      </w:r>
      <w:proofErr w:type="spellStart"/>
      <w:r w:rsidR="0081339C">
        <w:rPr>
          <w:rFonts w:ascii="Arial" w:hAnsi="Arial" w:cs="Arial"/>
          <w:sz w:val="24"/>
        </w:rPr>
        <w:t>odgojnoobrazovnog</w:t>
      </w:r>
      <w:proofErr w:type="spellEnd"/>
      <w:r w:rsidR="0081339C">
        <w:rPr>
          <w:rFonts w:ascii="Arial" w:hAnsi="Arial" w:cs="Arial"/>
          <w:sz w:val="24"/>
        </w:rPr>
        <w:t xml:space="preserve"> procesa koji se financiraju iz županijskog proračuna.</w:t>
      </w:r>
      <w:r>
        <w:rPr>
          <w:rFonts w:ascii="Arial" w:hAnsi="Arial" w:cs="Arial"/>
          <w:sz w:val="24"/>
        </w:rPr>
        <w:t xml:space="preserve"> Ujedno, na izvoru 52 Ostale pomoći koji se odnosi na pomoći dobivene od nadležnog Ministarstva i Općine za financiranje plaća zaposlenicima, </w:t>
      </w:r>
      <w:r w:rsidR="00EF3493">
        <w:rPr>
          <w:rFonts w:ascii="Arial" w:hAnsi="Arial" w:cs="Arial"/>
          <w:sz w:val="24"/>
        </w:rPr>
        <w:t>planirani rashodi uvećani su</w:t>
      </w:r>
      <w:r>
        <w:rPr>
          <w:rFonts w:ascii="Arial" w:hAnsi="Arial" w:cs="Arial"/>
          <w:sz w:val="24"/>
        </w:rPr>
        <w:t xml:space="preserve"> za </w:t>
      </w:r>
      <w:r w:rsidR="00EF3493">
        <w:rPr>
          <w:rFonts w:ascii="Arial" w:hAnsi="Arial" w:cs="Arial"/>
          <w:sz w:val="24"/>
        </w:rPr>
        <w:t>13.430</w:t>
      </w:r>
      <w:r>
        <w:rPr>
          <w:rFonts w:ascii="Arial" w:hAnsi="Arial" w:cs="Arial"/>
          <w:sz w:val="24"/>
        </w:rPr>
        <w:t xml:space="preserve">,00 eura </w:t>
      </w:r>
      <w:r w:rsidR="00EF3493">
        <w:rPr>
          <w:rFonts w:ascii="Arial" w:hAnsi="Arial" w:cs="Arial"/>
          <w:sz w:val="24"/>
        </w:rPr>
        <w:t xml:space="preserve"> odnosno 2,05% i oni sada iznose 669.130,00 eura</w:t>
      </w:r>
      <w:r>
        <w:rPr>
          <w:rFonts w:ascii="Arial" w:hAnsi="Arial" w:cs="Arial"/>
          <w:sz w:val="24"/>
        </w:rPr>
        <w:t xml:space="preserve">. Financijski plan je smanjen na izvori 11 Opći prihodi i primici u iznosu od 4.680,00 eura tj. za 28,23%. Ovo smanjenje odnosi se na </w:t>
      </w:r>
      <w:r w:rsidR="00EF3493">
        <w:rPr>
          <w:rFonts w:ascii="Arial" w:hAnsi="Arial" w:cs="Arial"/>
          <w:sz w:val="24"/>
        </w:rPr>
        <w:lastRenderedPageBreak/>
        <w:t xml:space="preserve">smanjenje rashoda za </w:t>
      </w:r>
      <w:r>
        <w:rPr>
          <w:rFonts w:ascii="Arial" w:hAnsi="Arial" w:cs="Arial"/>
          <w:sz w:val="24"/>
        </w:rPr>
        <w:t>plaće učiteljica u produženom boravku za srpanj i kolovoz 2025. godine, koje se financiraju iz županijskog proračuna</w:t>
      </w:r>
      <w:r w:rsidR="00EF3493">
        <w:rPr>
          <w:rFonts w:ascii="Arial" w:hAnsi="Arial" w:cs="Arial"/>
          <w:sz w:val="24"/>
        </w:rPr>
        <w:t xml:space="preserve"> zbog odlaska jedne učiteljice na </w:t>
      </w:r>
      <w:proofErr w:type="spellStart"/>
      <w:r w:rsidR="00EF3493">
        <w:rPr>
          <w:rFonts w:ascii="Arial" w:hAnsi="Arial" w:cs="Arial"/>
          <w:sz w:val="24"/>
        </w:rPr>
        <w:t>rodiljni</w:t>
      </w:r>
      <w:proofErr w:type="spellEnd"/>
      <w:r w:rsidR="00EF3493">
        <w:rPr>
          <w:rFonts w:ascii="Arial" w:hAnsi="Arial" w:cs="Arial"/>
          <w:sz w:val="24"/>
        </w:rPr>
        <w:t xml:space="preserve"> dopust</w:t>
      </w:r>
      <w:r>
        <w:rPr>
          <w:rFonts w:ascii="Arial" w:hAnsi="Arial" w:cs="Arial"/>
          <w:sz w:val="24"/>
        </w:rPr>
        <w:t>.</w:t>
      </w:r>
      <w:r w:rsidR="00EF3493">
        <w:rPr>
          <w:rFonts w:ascii="Arial" w:hAnsi="Arial" w:cs="Arial"/>
          <w:sz w:val="24"/>
        </w:rPr>
        <w:t xml:space="preserve"> Na izvoru 31 Vlastiti prihodi, rashodi su uvećani za 3.400,00 eura odnosno 161,9% zbog nabave potrebne opreme i namještaja za uređenje učionica. Ovim izmjenama i dopunama financijskog plana, uvećani su i rashodi na izvoru 43 za 7.409,00 eura. Ovi rashodi uvećani su zbog uređenje školskog dvorišta radi provođenje nastave produženog boravka na otvorenom. </w:t>
      </w:r>
      <w:r>
        <w:rPr>
          <w:rFonts w:ascii="Arial" w:hAnsi="Arial" w:cs="Arial"/>
          <w:sz w:val="24"/>
        </w:rPr>
        <w:t xml:space="preserve"> </w:t>
      </w: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8D20CB" w:rsidRDefault="008D20CB" w:rsidP="003D1AB9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</w:p>
    <w:p w:rsidR="00F76B86" w:rsidRDefault="00F76B86" w:rsidP="00F76B86">
      <w:pPr>
        <w:spacing w:after="0" w:line="360" w:lineRule="auto"/>
        <w:jc w:val="center"/>
        <w:rPr>
          <w:rFonts w:ascii="Arial" w:hAnsi="Arial" w:cs="Arial"/>
          <w:sz w:val="40"/>
        </w:rPr>
      </w:pPr>
    </w:p>
    <w:p w:rsidR="00F76B86" w:rsidRDefault="00F76B86" w:rsidP="00F76B86">
      <w:pPr>
        <w:spacing w:after="0" w:line="360" w:lineRule="auto"/>
        <w:jc w:val="center"/>
        <w:rPr>
          <w:rFonts w:ascii="Arial" w:hAnsi="Arial" w:cs="Arial"/>
          <w:sz w:val="40"/>
        </w:rPr>
      </w:pPr>
    </w:p>
    <w:p w:rsidR="00F76B86" w:rsidRDefault="00F76B86" w:rsidP="00F76B86">
      <w:pPr>
        <w:spacing w:after="0" w:line="360" w:lineRule="auto"/>
        <w:jc w:val="center"/>
        <w:rPr>
          <w:rFonts w:ascii="Arial" w:hAnsi="Arial" w:cs="Arial"/>
          <w:sz w:val="40"/>
        </w:rPr>
      </w:pPr>
    </w:p>
    <w:p w:rsidR="00F76B86" w:rsidRDefault="00F76B86" w:rsidP="00F76B86">
      <w:pPr>
        <w:spacing w:after="0" w:line="360" w:lineRule="auto"/>
        <w:jc w:val="center"/>
        <w:rPr>
          <w:rFonts w:ascii="Arial" w:hAnsi="Arial" w:cs="Arial"/>
          <w:sz w:val="40"/>
        </w:rPr>
      </w:pPr>
    </w:p>
    <w:p w:rsidR="00F76B86" w:rsidRDefault="00F76B86" w:rsidP="00F76B86">
      <w:pPr>
        <w:spacing w:after="0" w:line="360" w:lineRule="auto"/>
        <w:rPr>
          <w:rFonts w:ascii="Arial" w:hAnsi="Arial" w:cs="Arial"/>
          <w:sz w:val="40"/>
        </w:rPr>
      </w:pPr>
    </w:p>
    <w:p w:rsidR="004367FC" w:rsidRPr="005850B3" w:rsidRDefault="00783C38" w:rsidP="00BA75BD">
      <w:pPr>
        <w:spacing w:after="0" w:line="360" w:lineRule="auto"/>
        <w:jc w:val="center"/>
        <w:rPr>
          <w:rFonts w:ascii="Arial" w:hAnsi="Arial" w:cs="Arial"/>
          <w:b/>
          <w:sz w:val="40"/>
        </w:rPr>
      </w:pPr>
      <w:r w:rsidRPr="005850B3">
        <w:rPr>
          <w:rFonts w:ascii="Arial" w:hAnsi="Arial" w:cs="Arial"/>
          <w:b/>
          <w:sz w:val="40"/>
        </w:rPr>
        <w:t>OBRAZLOŽENJE POSEBNOG DIJELA FINANCIJSKOG PLANA OSNOVNE ŠKOLE BELETINEC ZA 202</w:t>
      </w:r>
      <w:r w:rsidR="006811D9">
        <w:rPr>
          <w:rFonts w:ascii="Arial" w:hAnsi="Arial" w:cs="Arial"/>
          <w:b/>
          <w:sz w:val="40"/>
        </w:rPr>
        <w:t>5</w:t>
      </w:r>
      <w:r w:rsidRPr="005850B3">
        <w:rPr>
          <w:rFonts w:ascii="Arial" w:hAnsi="Arial" w:cs="Arial"/>
          <w:b/>
          <w:sz w:val="40"/>
        </w:rPr>
        <w:t>. GODINU</w:t>
      </w:r>
    </w:p>
    <w:p w:rsidR="00783C38" w:rsidRPr="005850B3" w:rsidRDefault="00783C38" w:rsidP="00F76B86">
      <w:pPr>
        <w:spacing w:after="0" w:line="360" w:lineRule="auto"/>
        <w:jc w:val="center"/>
        <w:rPr>
          <w:rFonts w:ascii="Arial" w:hAnsi="Arial" w:cs="Arial"/>
          <w:b/>
          <w:sz w:val="40"/>
        </w:rPr>
      </w:pPr>
    </w:p>
    <w:p w:rsidR="00783C38" w:rsidRPr="00BA75BD" w:rsidRDefault="00BA75BD" w:rsidP="00BA75BD">
      <w:pPr>
        <w:spacing w:after="0" w:line="360" w:lineRule="auto"/>
        <w:jc w:val="center"/>
        <w:rPr>
          <w:rFonts w:ascii="Arial" w:hAnsi="Arial" w:cs="Arial"/>
          <w:b/>
          <w:sz w:val="40"/>
        </w:rPr>
      </w:pPr>
      <w:r w:rsidRPr="00BA75BD">
        <w:rPr>
          <w:rFonts w:ascii="Arial" w:hAnsi="Arial" w:cs="Arial"/>
          <w:b/>
          <w:sz w:val="40"/>
        </w:rPr>
        <w:t xml:space="preserve">I. </w:t>
      </w:r>
      <w:r w:rsidR="00783C38" w:rsidRPr="00BA75BD">
        <w:rPr>
          <w:rFonts w:ascii="Arial" w:hAnsi="Arial" w:cs="Arial"/>
          <w:b/>
          <w:sz w:val="40"/>
        </w:rPr>
        <w:t>IZMJEN</w:t>
      </w:r>
      <w:r w:rsidRPr="00BA75BD">
        <w:rPr>
          <w:rFonts w:ascii="Arial" w:hAnsi="Arial" w:cs="Arial"/>
          <w:b/>
          <w:sz w:val="40"/>
        </w:rPr>
        <w:t>A</w:t>
      </w:r>
      <w:r w:rsidR="00783C38" w:rsidRPr="00BA75BD">
        <w:rPr>
          <w:rFonts w:ascii="Arial" w:hAnsi="Arial" w:cs="Arial"/>
          <w:b/>
          <w:sz w:val="40"/>
        </w:rPr>
        <w:t xml:space="preserve"> I DOPUN</w:t>
      </w:r>
      <w:r w:rsidRPr="00BA75BD">
        <w:rPr>
          <w:rFonts w:ascii="Arial" w:hAnsi="Arial" w:cs="Arial"/>
          <w:b/>
          <w:sz w:val="40"/>
        </w:rPr>
        <w:t>A</w:t>
      </w:r>
      <w:r w:rsidR="00783C38" w:rsidRPr="00BA75BD">
        <w:rPr>
          <w:rFonts w:ascii="Arial" w:hAnsi="Arial" w:cs="Arial"/>
          <w:b/>
          <w:sz w:val="40"/>
        </w:rPr>
        <w:t xml:space="preserve"> </w:t>
      </w:r>
      <w:r w:rsidRPr="00BA75BD">
        <w:rPr>
          <w:rFonts w:ascii="Arial" w:hAnsi="Arial" w:cs="Arial"/>
          <w:b/>
          <w:sz w:val="40"/>
        </w:rPr>
        <w:t xml:space="preserve">      </w:t>
      </w:r>
      <w:r>
        <w:rPr>
          <w:rFonts w:ascii="Arial" w:hAnsi="Arial" w:cs="Arial"/>
          <w:b/>
          <w:sz w:val="40"/>
        </w:rPr>
        <w:t xml:space="preserve">     </w:t>
      </w:r>
      <w:r w:rsidR="00783C38" w:rsidRPr="00BA75BD">
        <w:rPr>
          <w:rFonts w:ascii="Arial" w:hAnsi="Arial" w:cs="Arial"/>
          <w:b/>
          <w:sz w:val="40"/>
        </w:rPr>
        <w:t>FINANCIJSKOG</w:t>
      </w:r>
      <w:r w:rsidR="00F76B86" w:rsidRPr="00BA75BD">
        <w:rPr>
          <w:rFonts w:ascii="Arial" w:hAnsi="Arial" w:cs="Arial"/>
          <w:b/>
          <w:sz w:val="40"/>
        </w:rPr>
        <w:t xml:space="preserve"> </w:t>
      </w:r>
      <w:r w:rsidR="00783C38" w:rsidRPr="00BA75BD">
        <w:rPr>
          <w:rFonts w:ascii="Arial" w:hAnsi="Arial" w:cs="Arial"/>
          <w:b/>
          <w:sz w:val="40"/>
        </w:rPr>
        <w:t>PLANA</w:t>
      </w:r>
    </w:p>
    <w:p w:rsidR="00783C38" w:rsidRDefault="00783C3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783C38" w:rsidRPr="00E712A8" w:rsidRDefault="00783C38" w:rsidP="00E712A8">
      <w:pPr>
        <w:spacing w:after="0" w:line="360" w:lineRule="auto"/>
        <w:jc w:val="both"/>
        <w:rPr>
          <w:rFonts w:ascii="Arial" w:hAnsi="Arial" w:cs="Arial"/>
          <w:sz w:val="24"/>
        </w:rPr>
      </w:pPr>
      <w:r w:rsidRPr="00E712A8">
        <w:rPr>
          <w:rFonts w:ascii="Arial" w:hAnsi="Arial" w:cs="Arial"/>
          <w:sz w:val="24"/>
        </w:rPr>
        <w:lastRenderedPageBreak/>
        <w:t xml:space="preserve">U posebnom dijelu objasnit će se rashodi i izdaci izmjena i dopuna financijskog plana škole prema proračunskim klasifikacijama odnosno prema programima. </w:t>
      </w:r>
    </w:p>
    <w:p w:rsidR="0071317D" w:rsidRPr="00E712A8" w:rsidRDefault="0071317D" w:rsidP="00E712A8">
      <w:pPr>
        <w:spacing w:after="0" w:line="360" w:lineRule="auto"/>
        <w:jc w:val="both"/>
        <w:rPr>
          <w:rFonts w:ascii="Arial" w:hAnsi="Arial" w:cs="Arial"/>
          <w:sz w:val="24"/>
        </w:rPr>
      </w:pPr>
      <w:r w:rsidRPr="00E712A8">
        <w:rPr>
          <w:rFonts w:ascii="Arial" w:hAnsi="Arial" w:cs="Arial"/>
          <w:sz w:val="24"/>
        </w:rPr>
        <w:t xml:space="preserve">Tablicom ispod prikazano je povećanje odnosno smanjenje rashoda i izdataka prema proračunskim klasifikacijama odnosno programima. </w:t>
      </w:r>
      <w:r w:rsidRPr="00E712A8">
        <w:rPr>
          <w:rFonts w:ascii="Arial" w:hAnsi="Arial" w:cs="Arial"/>
          <w:b/>
          <w:i/>
          <w:sz w:val="24"/>
        </w:rPr>
        <w:t xml:space="preserve">Javne potrebe u obrazovanju iznad zakonskog standarda </w:t>
      </w:r>
      <w:r w:rsidRPr="00E712A8">
        <w:rPr>
          <w:rFonts w:ascii="Arial" w:hAnsi="Arial" w:cs="Arial"/>
          <w:sz w:val="24"/>
        </w:rPr>
        <w:t xml:space="preserve">ovim izmjenama i dopunama </w:t>
      </w:r>
      <w:r w:rsidR="006811D9">
        <w:rPr>
          <w:rFonts w:ascii="Arial" w:hAnsi="Arial" w:cs="Arial"/>
          <w:sz w:val="24"/>
        </w:rPr>
        <w:t>smanjuju</w:t>
      </w:r>
      <w:r w:rsidRPr="00E712A8">
        <w:rPr>
          <w:rFonts w:ascii="Arial" w:hAnsi="Arial" w:cs="Arial"/>
          <w:sz w:val="24"/>
        </w:rPr>
        <w:t xml:space="preserve"> se za </w:t>
      </w:r>
      <w:r w:rsidR="006811D9">
        <w:rPr>
          <w:rFonts w:ascii="Arial" w:hAnsi="Arial" w:cs="Arial"/>
          <w:sz w:val="24"/>
        </w:rPr>
        <w:t>3.841,00</w:t>
      </w:r>
      <w:r w:rsidR="00D8064C">
        <w:rPr>
          <w:rFonts w:ascii="Arial" w:hAnsi="Arial" w:cs="Arial"/>
          <w:sz w:val="24"/>
        </w:rPr>
        <w:t xml:space="preserve"> </w:t>
      </w:r>
      <w:r w:rsidRPr="00E712A8">
        <w:rPr>
          <w:rFonts w:ascii="Arial" w:hAnsi="Arial" w:cs="Arial"/>
          <w:sz w:val="24"/>
        </w:rPr>
        <w:t xml:space="preserve">eura odnosno za </w:t>
      </w:r>
      <w:r w:rsidR="006811D9">
        <w:rPr>
          <w:rFonts w:ascii="Arial" w:hAnsi="Arial" w:cs="Arial"/>
          <w:sz w:val="24"/>
        </w:rPr>
        <w:t>3,46</w:t>
      </w:r>
      <w:r w:rsidRPr="00E712A8">
        <w:rPr>
          <w:rFonts w:ascii="Arial" w:hAnsi="Arial" w:cs="Arial"/>
          <w:sz w:val="24"/>
        </w:rPr>
        <w:t xml:space="preserve">% i novim planom iznose </w:t>
      </w:r>
      <w:r w:rsidR="006811D9">
        <w:rPr>
          <w:rFonts w:ascii="Arial" w:hAnsi="Arial" w:cs="Arial"/>
          <w:sz w:val="24"/>
        </w:rPr>
        <w:t>107.139</w:t>
      </w:r>
      <w:r w:rsidRPr="00E712A8">
        <w:rPr>
          <w:rFonts w:ascii="Arial" w:hAnsi="Arial" w:cs="Arial"/>
          <w:sz w:val="24"/>
        </w:rPr>
        <w:t xml:space="preserve">,00 eura. </w:t>
      </w:r>
      <w:r w:rsidRPr="00E712A8">
        <w:rPr>
          <w:rFonts w:ascii="Arial" w:hAnsi="Arial" w:cs="Arial"/>
          <w:b/>
          <w:i/>
          <w:sz w:val="24"/>
        </w:rPr>
        <w:t xml:space="preserve">Zakonski standard javnih ustanova osnovnih škola </w:t>
      </w:r>
      <w:r w:rsidRPr="00E712A8">
        <w:rPr>
          <w:rFonts w:ascii="Arial" w:hAnsi="Arial" w:cs="Arial"/>
          <w:sz w:val="24"/>
        </w:rPr>
        <w:t xml:space="preserve">ovim izmjenama i dopunama povećava se za </w:t>
      </w:r>
      <w:r w:rsidR="006811D9">
        <w:rPr>
          <w:rFonts w:ascii="Arial" w:hAnsi="Arial" w:cs="Arial"/>
          <w:sz w:val="24"/>
        </w:rPr>
        <w:t>53.773</w:t>
      </w:r>
      <w:r w:rsidRPr="00E712A8">
        <w:rPr>
          <w:rFonts w:ascii="Arial" w:hAnsi="Arial" w:cs="Arial"/>
          <w:sz w:val="24"/>
        </w:rPr>
        <w:t xml:space="preserve">,00 eura </w:t>
      </w:r>
      <w:r w:rsidR="006811D9">
        <w:rPr>
          <w:rFonts w:ascii="Arial" w:hAnsi="Arial" w:cs="Arial"/>
          <w:sz w:val="24"/>
        </w:rPr>
        <w:t>odnosno</w:t>
      </w:r>
      <w:r w:rsidRPr="00E712A8">
        <w:rPr>
          <w:rFonts w:ascii="Arial" w:hAnsi="Arial" w:cs="Arial"/>
          <w:sz w:val="24"/>
        </w:rPr>
        <w:t xml:space="preserve"> za </w:t>
      </w:r>
      <w:r w:rsidR="006811D9">
        <w:rPr>
          <w:rFonts w:ascii="Arial" w:hAnsi="Arial" w:cs="Arial"/>
          <w:sz w:val="24"/>
        </w:rPr>
        <w:t>8,41</w:t>
      </w:r>
      <w:r w:rsidRPr="00E712A8">
        <w:rPr>
          <w:rFonts w:ascii="Arial" w:hAnsi="Arial" w:cs="Arial"/>
          <w:sz w:val="24"/>
        </w:rPr>
        <w:t>% i novim planom iznos</w:t>
      </w:r>
      <w:r w:rsidR="006811D9">
        <w:rPr>
          <w:rFonts w:ascii="Arial" w:hAnsi="Arial" w:cs="Arial"/>
          <w:sz w:val="24"/>
        </w:rPr>
        <w:t>i</w:t>
      </w:r>
      <w:r w:rsidRPr="00E712A8">
        <w:rPr>
          <w:rFonts w:ascii="Arial" w:hAnsi="Arial" w:cs="Arial"/>
          <w:sz w:val="24"/>
        </w:rPr>
        <w:t xml:space="preserve"> </w:t>
      </w:r>
      <w:r w:rsidR="006811D9">
        <w:rPr>
          <w:rFonts w:ascii="Arial" w:hAnsi="Arial" w:cs="Arial"/>
          <w:sz w:val="24"/>
        </w:rPr>
        <w:t>693.273</w:t>
      </w:r>
      <w:r w:rsidRPr="00E712A8">
        <w:rPr>
          <w:rFonts w:ascii="Arial" w:hAnsi="Arial" w:cs="Arial"/>
          <w:sz w:val="24"/>
        </w:rPr>
        <w:t xml:space="preserve">,00 eura. </w:t>
      </w:r>
    </w:p>
    <w:p w:rsidR="0071317D" w:rsidRPr="00E712A8" w:rsidRDefault="0071317D" w:rsidP="00E712A8">
      <w:pPr>
        <w:spacing w:after="0" w:line="360" w:lineRule="auto"/>
        <w:jc w:val="both"/>
        <w:rPr>
          <w:rFonts w:ascii="Arial" w:hAnsi="Arial" w:cs="Arial"/>
          <w:sz w:val="24"/>
        </w:rPr>
      </w:pPr>
      <w:r w:rsidRPr="00E712A8">
        <w:rPr>
          <w:rFonts w:ascii="Arial" w:hAnsi="Arial" w:cs="Arial"/>
          <w:sz w:val="24"/>
        </w:rPr>
        <w:t>U nastavku su opisana povećanja odnosno smanjenja rashoda po pojedinim programima.</w:t>
      </w:r>
    </w:p>
    <w:p w:rsidR="0071317D" w:rsidRDefault="0071317D" w:rsidP="00783C38">
      <w:pPr>
        <w:pStyle w:val="Odlomakpopisa"/>
        <w:spacing w:after="0" w:line="360" w:lineRule="auto"/>
        <w:ind w:left="1080" w:firstLine="336"/>
        <w:jc w:val="both"/>
        <w:rPr>
          <w:rFonts w:ascii="Arial" w:hAnsi="Arial" w:cs="Arial"/>
          <w:sz w:val="24"/>
        </w:rPr>
      </w:pPr>
    </w:p>
    <w:p w:rsidR="0071317D" w:rsidRPr="0071317D" w:rsidRDefault="0071317D" w:rsidP="00E712A8">
      <w:pPr>
        <w:pStyle w:val="Odlomakpopisa"/>
        <w:spacing w:after="0" w:line="360" w:lineRule="auto"/>
        <w:ind w:left="284" w:firstLine="336"/>
        <w:jc w:val="both"/>
        <w:rPr>
          <w:rFonts w:ascii="Arial" w:hAnsi="Arial" w:cs="Arial"/>
          <w:sz w:val="24"/>
        </w:rPr>
      </w:pPr>
      <w:r w:rsidRPr="0071317D">
        <w:rPr>
          <w:rFonts w:ascii="Arial" w:hAnsi="Arial" w:cs="Arial"/>
          <w:b/>
          <w:i/>
          <w:sz w:val="24"/>
        </w:rPr>
        <w:t xml:space="preserve">Tablica 5. </w:t>
      </w:r>
      <w:r>
        <w:rPr>
          <w:rFonts w:ascii="Arial" w:hAnsi="Arial" w:cs="Arial"/>
          <w:sz w:val="24"/>
        </w:rPr>
        <w:t>Rashodi i izdaci Izmjena i dopuna financijskog plana škole za 202</w:t>
      </w:r>
      <w:r w:rsidR="006811D9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. godinu prema proračunskim klasifikacijama </w:t>
      </w:r>
    </w:p>
    <w:p w:rsidR="00783C38" w:rsidRDefault="00783C38" w:rsidP="00783C38">
      <w:pPr>
        <w:pStyle w:val="Odlomakpopisa"/>
        <w:spacing w:after="0" w:line="360" w:lineRule="auto"/>
        <w:ind w:left="1080" w:firstLine="336"/>
        <w:jc w:val="both"/>
        <w:rPr>
          <w:rFonts w:ascii="Arial" w:hAnsi="Arial" w:cs="Arial"/>
          <w:sz w:val="24"/>
        </w:rPr>
      </w:pPr>
    </w:p>
    <w:tbl>
      <w:tblPr>
        <w:tblW w:w="10425" w:type="dxa"/>
        <w:tblInd w:w="-591" w:type="dxa"/>
        <w:tblLook w:val="04A0" w:firstRow="1" w:lastRow="0" w:firstColumn="1" w:lastColumn="0" w:noHBand="0" w:noVBand="1"/>
      </w:tblPr>
      <w:tblGrid>
        <w:gridCol w:w="4664"/>
        <w:gridCol w:w="1862"/>
        <w:gridCol w:w="2241"/>
        <w:gridCol w:w="1658"/>
      </w:tblGrid>
      <w:tr w:rsidR="003931FE" w:rsidRPr="003931FE" w:rsidTr="003931FE">
        <w:trPr>
          <w:trHeight w:val="705"/>
        </w:trPr>
        <w:tc>
          <w:tcPr>
            <w:tcW w:w="4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3931FE" w:rsidRPr="003931FE" w:rsidRDefault="003931FE" w:rsidP="00393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Oznaka</w:t>
            </w:r>
          </w:p>
        </w:tc>
        <w:tc>
          <w:tcPr>
            <w:tcW w:w="186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3931FE" w:rsidRPr="003931FE" w:rsidRDefault="003931FE" w:rsidP="00393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2025. 1</w:t>
            </w:r>
          </w:p>
        </w:tc>
        <w:tc>
          <w:tcPr>
            <w:tcW w:w="22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3931FE" w:rsidRPr="003931FE" w:rsidRDefault="003931FE" w:rsidP="00393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Povećanje/smanjenje 2</w:t>
            </w: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4B082"/>
            <w:noWrap/>
            <w:vAlign w:val="center"/>
            <w:hideMark/>
          </w:tcPr>
          <w:p w:rsidR="003931FE" w:rsidRPr="003931FE" w:rsidRDefault="003931FE" w:rsidP="00393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Novi plan 2025. 3</w:t>
            </w:r>
          </w:p>
        </w:tc>
      </w:tr>
      <w:tr w:rsidR="003931FE" w:rsidRPr="003931FE" w:rsidTr="003931FE">
        <w:trPr>
          <w:trHeight w:val="634"/>
        </w:trPr>
        <w:tc>
          <w:tcPr>
            <w:tcW w:w="4664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BE4D5"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Program: 1210 JAVNE POTREBE U OBRAZOVANJU IZNAD ZAKONSKOG STANDARDA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110.980,00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-3.841,00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107.139,00</w:t>
            </w:r>
          </w:p>
        </w:tc>
      </w:tr>
      <w:tr w:rsidR="003931FE" w:rsidRPr="003931FE" w:rsidTr="003931FE">
        <w:trPr>
          <w:trHeight w:val="537"/>
        </w:trPr>
        <w:tc>
          <w:tcPr>
            <w:tcW w:w="46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A121016 Programi u školstvu iznad zakonskog standarda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15.850,00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3.700,00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19.550,00</w:t>
            </w:r>
          </w:p>
        </w:tc>
      </w:tr>
      <w:tr w:rsidR="003931FE" w:rsidRPr="003931FE" w:rsidTr="003931FE">
        <w:trPr>
          <w:trHeight w:val="348"/>
        </w:trPr>
        <w:tc>
          <w:tcPr>
            <w:tcW w:w="46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A121019 Prehrana učenika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17.300,00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2.200,00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19.500,00</w:t>
            </w:r>
          </w:p>
        </w:tc>
      </w:tr>
      <w:tr w:rsidR="003931FE" w:rsidRPr="003931FE" w:rsidTr="003931FE">
        <w:trPr>
          <w:trHeight w:val="356"/>
        </w:trPr>
        <w:tc>
          <w:tcPr>
            <w:tcW w:w="46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A121020 Cjelodnevni boravak učenika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76.180,00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-9.721,00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66.459,00</w:t>
            </w:r>
          </w:p>
        </w:tc>
      </w:tr>
      <w:tr w:rsidR="003931FE" w:rsidRPr="003931FE" w:rsidTr="003931FE">
        <w:trPr>
          <w:trHeight w:val="356"/>
        </w:trPr>
        <w:tc>
          <w:tcPr>
            <w:tcW w:w="46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A121023 Građanski odgoj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1.400,00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1.400,00</w:t>
            </w:r>
          </w:p>
        </w:tc>
      </w:tr>
      <w:tr w:rsidR="003931FE" w:rsidRPr="003931FE" w:rsidTr="003931FE">
        <w:trPr>
          <w:trHeight w:val="548"/>
        </w:trPr>
        <w:tc>
          <w:tcPr>
            <w:tcW w:w="46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A121025 Opskrba školskih ustanova besplatnim higijenskim potrepštinama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150,00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-20,00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130,00</w:t>
            </w:r>
          </w:p>
        </w:tc>
      </w:tr>
      <w:tr w:rsidR="003931FE" w:rsidRPr="003931FE" w:rsidTr="003931FE">
        <w:trPr>
          <w:trHeight w:val="348"/>
        </w:trPr>
        <w:tc>
          <w:tcPr>
            <w:tcW w:w="46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T121001 Školski medni dan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3931FE" w:rsidRPr="003931FE" w:rsidTr="003931FE">
        <w:trPr>
          <w:trHeight w:val="548"/>
        </w:trPr>
        <w:tc>
          <w:tcPr>
            <w:tcW w:w="4664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BE4D5"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Program: 1230 ZAKONSKI STANDARD JAVNIH USTANOVA OŠ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639.500,00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53.773,00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693.273,00</w:t>
            </w:r>
          </w:p>
        </w:tc>
      </w:tr>
      <w:tr w:rsidR="003931FE" w:rsidRPr="003931FE" w:rsidTr="003931FE">
        <w:trPr>
          <w:trHeight w:val="537"/>
        </w:trPr>
        <w:tc>
          <w:tcPr>
            <w:tcW w:w="46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A123001 </w:t>
            </w:r>
            <w:proofErr w:type="spellStart"/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Odgojnoobrazovno</w:t>
            </w:r>
            <w:proofErr w:type="spellEnd"/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, administrativno i tehničko osoblje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633.700,00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33.550,00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667.250,00</w:t>
            </w:r>
          </w:p>
        </w:tc>
      </w:tr>
      <w:tr w:rsidR="003931FE" w:rsidRPr="003931FE" w:rsidTr="003931FE">
        <w:trPr>
          <w:trHeight w:val="312"/>
        </w:trPr>
        <w:tc>
          <w:tcPr>
            <w:tcW w:w="466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K123001 Izgradnja i održavanje školskih objekata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5.800,00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20.223,00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color w:val="000000"/>
                <w:lang w:eastAsia="hr-HR"/>
              </w:rPr>
              <w:t>26.023,00</w:t>
            </w:r>
          </w:p>
        </w:tc>
      </w:tr>
      <w:tr w:rsidR="003931FE" w:rsidRPr="003931FE" w:rsidTr="003931FE">
        <w:trPr>
          <w:trHeight w:val="348"/>
        </w:trPr>
        <w:tc>
          <w:tcPr>
            <w:tcW w:w="46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750.480,00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49.932,00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3931FE" w:rsidRPr="003931FE" w:rsidRDefault="003931FE" w:rsidP="00393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931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800.412,00</w:t>
            </w:r>
          </w:p>
        </w:tc>
      </w:tr>
    </w:tbl>
    <w:p w:rsidR="00783C38" w:rsidRPr="00783C38" w:rsidRDefault="00783C38" w:rsidP="00E712A8">
      <w:pPr>
        <w:pStyle w:val="Odlomakpopisa"/>
        <w:spacing w:after="0" w:line="360" w:lineRule="auto"/>
        <w:ind w:left="142"/>
        <w:jc w:val="both"/>
        <w:rPr>
          <w:rFonts w:ascii="Arial" w:hAnsi="Arial" w:cs="Arial"/>
          <w:sz w:val="24"/>
        </w:rPr>
      </w:pPr>
    </w:p>
    <w:p w:rsidR="00047335" w:rsidRDefault="00047335" w:rsidP="00047335">
      <w:pPr>
        <w:rPr>
          <w:rFonts w:ascii="Arial" w:hAnsi="Arial" w:cs="Arial"/>
          <w:sz w:val="24"/>
        </w:rPr>
      </w:pPr>
    </w:p>
    <w:p w:rsidR="00047335" w:rsidRDefault="00047335" w:rsidP="0004733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1374B1" w:rsidRDefault="001374B1" w:rsidP="00047335">
      <w:pPr>
        <w:rPr>
          <w:rFonts w:ascii="Arial" w:hAnsi="Arial" w:cs="Arial"/>
          <w:sz w:val="24"/>
        </w:rPr>
      </w:pPr>
    </w:p>
    <w:p w:rsidR="00E712A8" w:rsidRPr="00047335" w:rsidRDefault="00E712A8" w:rsidP="00047335">
      <w:pPr>
        <w:rPr>
          <w:rFonts w:ascii="Arial" w:hAnsi="Arial" w:cs="Arial"/>
          <w:sz w:val="24"/>
        </w:rPr>
      </w:pPr>
    </w:p>
    <w:p w:rsidR="00A42B95" w:rsidRDefault="0071317D" w:rsidP="001559D0">
      <w:pPr>
        <w:rPr>
          <w:rFonts w:ascii="Arial" w:hAnsi="Arial" w:cs="Arial"/>
          <w:b/>
          <w:i/>
          <w:sz w:val="24"/>
        </w:rPr>
      </w:pPr>
      <w:r w:rsidRPr="0071317D">
        <w:rPr>
          <w:rFonts w:ascii="Arial" w:hAnsi="Arial" w:cs="Arial"/>
          <w:b/>
          <w:i/>
          <w:sz w:val="24"/>
        </w:rPr>
        <w:lastRenderedPageBreak/>
        <w:t xml:space="preserve">A121016 Programi u školstvu iznad zakonskog standarda </w:t>
      </w:r>
    </w:p>
    <w:p w:rsidR="00102543" w:rsidRDefault="0071317D" w:rsidP="00DA616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A6162">
        <w:rPr>
          <w:rFonts w:ascii="Arial" w:hAnsi="Arial" w:cs="Arial"/>
          <w:sz w:val="24"/>
        </w:rPr>
        <w:t>Programi u školstvu iznad zakonskog standarda uključuju materijalne rashode koji su financirani iz vlastitih izvora. Tu spadaju rashodi za provođenje terenske nastave učenika i izvannastavnih aktivnosti, materijali za učeničku zadrugu,</w:t>
      </w:r>
      <w:r w:rsidR="005B262C">
        <w:rPr>
          <w:rFonts w:ascii="Arial" w:hAnsi="Arial" w:cs="Arial"/>
          <w:sz w:val="24"/>
        </w:rPr>
        <w:t xml:space="preserve"> </w:t>
      </w:r>
      <w:r w:rsidR="00DA6162">
        <w:rPr>
          <w:rFonts w:ascii="Arial" w:hAnsi="Arial" w:cs="Arial"/>
          <w:sz w:val="24"/>
        </w:rPr>
        <w:t xml:space="preserve"> potrebni materijali </w:t>
      </w:r>
      <w:r w:rsidR="005B262C">
        <w:rPr>
          <w:rFonts w:ascii="Arial" w:hAnsi="Arial" w:cs="Arial"/>
          <w:sz w:val="24"/>
        </w:rPr>
        <w:t xml:space="preserve">za provođenje natjecanja iz engleskog jezika te isplata mentorstva, nagrade mentorima za uspješnost na učeničkim natjecanjima </w:t>
      </w:r>
      <w:r w:rsidR="00DA6162">
        <w:rPr>
          <w:rFonts w:ascii="Arial" w:hAnsi="Arial" w:cs="Arial"/>
          <w:sz w:val="24"/>
        </w:rPr>
        <w:t xml:space="preserve">te rashodi za nabavu radnih udžbenika financiranih od strane Ministarstva. Ovi rashodi ovim izmjenama i dopunama </w:t>
      </w:r>
      <w:r w:rsidR="00DA6162" w:rsidRPr="00DA6162">
        <w:rPr>
          <w:rFonts w:ascii="Arial" w:hAnsi="Arial" w:cs="Arial"/>
          <w:b/>
          <w:i/>
          <w:sz w:val="24"/>
        </w:rPr>
        <w:t xml:space="preserve">povećavaju se za </w:t>
      </w:r>
      <w:r w:rsidR="005B262C">
        <w:rPr>
          <w:rFonts w:ascii="Arial" w:hAnsi="Arial" w:cs="Arial"/>
          <w:b/>
          <w:i/>
          <w:sz w:val="24"/>
        </w:rPr>
        <w:t>3.700</w:t>
      </w:r>
      <w:r w:rsidR="00DA6162" w:rsidRPr="00DA6162">
        <w:rPr>
          <w:rFonts w:ascii="Arial" w:hAnsi="Arial" w:cs="Arial"/>
          <w:b/>
          <w:i/>
          <w:sz w:val="24"/>
        </w:rPr>
        <w:t>,00 eura</w:t>
      </w:r>
      <w:r w:rsidR="00DA6162">
        <w:rPr>
          <w:rFonts w:ascii="Arial" w:hAnsi="Arial" w:cs="Arial"/>
          <w:sz w:val="24"/>
        </w:rPr>
        <w:t xml:space="preserve"> i novim planom oni iznose </w:t>
      </w:r>
      <w:r w:rsidR="005B262C">
        <w:rPr>
          <w:rFonts w:ascii="Arial" w:hAnsi="Arial" w:cs="Arial"/>
          <w:sz w:val="24"/>
        </w:rPr>
        <w:t>19.550</w:t>
      </w:r>
      <w:r w:rsidR="00DA6162">
        <w:rPr>
          <w:rFonts w:ascii="Arial" w:hAnsi="Arial" w:cs="Arial"/>
          <w:sz w:val="24"/>
        </w:rPr>
        <w:t>,00 eura. Do povećanja je došlo zbog</w:t>
      </w:r>
      <w:r w:rsidR="005B262C">
        <w:rPr>
          <w:rFonts w:ascii="Arial" w:hAnsi="Arial" w:cs="Arial"/>
          <w:sz w:val="24"/>
        </w:rPr>
        <w:t xml:space="preserve"> </w:t>
      </w:r>
      <w:r w:rsidR="00102543">
        <w:rPr>
          <w:rFonts w:ascii="Arial" w:hAnsi="Arial" w:cs="Arial"/>
          <w:sz w:val="24"/>
        </w:rPr>
        <w:t xml:space="preserve">veće </w:t>
      </w:r>
      <w:r w:rsidR="005B262C">
        <w:rPr>
          <w:rFonts w:ascii="Arial" w:hAnsi="Arial" w:cs="Arial"/>
          <w:sz w:val="24"/>
        </w:rPr>
        <w:t xml:space="preserve">nabave </w:t>
      </w:r>
      <w:r w:rsidR="00102543">
        <w:rPr>
          <w:rFonts w:ascii="Arial" w:hAnsi="Arial" w:cs="Arial"/>
          <w:sz w:val="24"/>
        </w:rPr>
        <w:t xml:space="preserve">radnih udžbenika </w:t>
      </w:r>
      <w:r w:rsidR="005B262C">
        <w:rPr>
          <w:rFonts w:ascii="Arial" w:hAnsi="Arial" w:cs="Arial"/>
          <w:sz w:val="24"/>
        </w:rPr>
        <w:t>i potrebnih materijala za uspješno provođenja nastavnih aktivnosti.</w:t>
      </w:r>
    </w:p>
    <w:p w:rsidR="005B262C" w:rsidRDefault="005B262C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102543" w:rsidRDefault="00102543" w:rsidP="00DA6162">
      <w:pPr>
        <w:spacing w:after="0" w:line="360" w:lineRule="auto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A121019 Prehrana učenika </w:t>
      </w:r>
    </w:p>
    <w:p w:rsidR="00811D71" w:rsidRDefault="00102543" w:rsidP="00DA616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Program prehrane učenika ovim izmjenama i dopunama </w:t>
      </w:r>
      <w:r w:rsidR="005B262C">
        <w:rPr>
          <w:rFonts w:ascii="Arial" w:hAnsi="Arial" w:cs="Arial"/>
          <w:b/>
          <w:i/>
          <w:sz w:val="24"/>
        </w:rPr>
        <w:t xml:space="preserve">povećava </w:t>
      </w:r>
      <w:r w:rsidRPr="002B2700">
        <w:rPr>
          <w:rFonts w:ascii="Arial" w:hAnsi="Arial" w:cs="Arial"/>
          <w:b/>
          <w:i/>
          <w:sz w:val="24"/>
        </w:rPr>
        <w:t xml:space="preserve">se za </w:t>
      </w:r>
      <w:r w:rsidR="005B262C">
        <w:rPr>
          <w:rFonts w:ascii="Arial" w:hAnsi="Arial" w:cs="Arial"/>
          <w:b/>
          <w:i/>
          <w:sz w:val="24"/>
        </w:rPr>
        <w:t>2.200</w:t>
      </w:r>
      <w:r w:rsidRPr="002B2700">
        <w:rPr>
          <w:rFonts w:ascii="Arial" w:hAnsi="Arial" w:cs="Arial"/>
          <w:b/>
          <w:i/>
          <w:sz w:val="24"/>
        </w:rPr>
        <w:t>,00 eura</w:t>
      </w:r>
      <w:r>
        <w:rPr>
          <w:rFonts w:ascii="Arial" w:hAnsi="Arial" w:cs="Arial"/>
          <w:sz w:val="24"/>
        </w:rPr>
        <w:t xml:space="preserve">. Ovaj program obuhvaća topli obrok učenika koji je financiran od strane Ministarstva i ovi rashodi se povećavaju </w:t>
      </w:r>
      <w:r w:rsidR="005B262C">
        <w:rPr>
          <w:rFonts w:ascii="Arial" w:hAnsi="Arial" w:cs="Arial"/>
          <w:sz w:val="24"/>
        </w:rPr>
        <w:t>zbog poskupljenja namirnica. Ujedno</w:t>
      </w:r>
      <w:r w:rsidR="00B60E7A">
        <w:rPr>
          <w:rFonts w:ascii="Arial" w:hAnsi="Arial" w:cs="Arial"/>
          <w:sz w:val="24"/>
        </w:rPr>
        <w:t xml:space="preserve">, iz ovog programa, ali izvora 43 financira se i prehrana učitelja putem uplata učitelja te kako je došlo do povećanja broja obroka povećaju se i rashodi. </w:t>
      </w:r>
    </w:p>
    <w:p w:rsidR="00B60E7A" w:rsidRDefault="00B60E7A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F2D05" w:rsidRDefault="000F2D05" w:rsidP="00DA6162">
      <w:pPr>
        <w:spacing w:after="0" w:line="360" w:lineRule="auto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A121020 Cjelodnevni boravak učenika</w:t>
      </w:r>
    </w:p>
    <w:p w:rsidR="000F2D05" w:rsidRDefault="000F2D05" w:rsidP="00DA616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Program cjelodnevni boravak učenika odnosi se na financiranje plaća učiteljicama u produženom boravku te nabavu potrebnih materijala</w:t>
      </w:r>
      <w:r w:rsidR="00B60E7A">
        <w:rPr>
          <w:rFonts w:ascii="Arial" w:hAnsi="Arial" w:cs="Arial"/>
          <w:sz w:val="24"/>
        </w:rPr>
        <w:t xml:space="preserve"> i opreme</w:t>
      </w:r>
      <w:r>
        <w:rPr>
          <w:rFonts w:ascii="Arial" w:hAnsi="Arial" w:cs="Arial"/>
          <w:sz w:val="24"/>
        </w:rPr>
        <w:t xml:space="preserve"> za rad. Ovi rashodi </w:t>
      </w:r>
      <w:r w:rsidR="00B60E7A">
        <w:rPr>
          <w:rFonts w:ascii="Arial" w:hAnsi="Arial" w:cs="Arial"/>
          <w:b/>
          <w:i/>
          <w:sz w:val="24"/>
        </w:rPr>
        <w:t xml:space="preserve">smanjuju </w:t>
      </w:r>
      <w:r w:rsidRPr="000F2D05">
        <w:rPr>
          <w:rFonts w:ascii="Arial" w:hAnsi="Arial" w:cs="Arial"/>
          <w:b/>
          <w:i/>
          <w:sz w:val="24"/>
        </w:rPr>
        <w:t xml:space="preserve">se za </w:t>
      </w:r>
      <w:r w:rsidR="00B60E7A">
        <w:rPr>
          <w:rFonts w:ascii="Arial" w:hAnsi="Arial" w:cs="Arial"/>
          <w:b/>
          <w:i/>
          <w:sz w:val="24"/>
        </w:rPr>
        <w:t>9.721</w:t>
      </w:r>
      <w:r w:rsidRPr="000F2D05">
        <w:rPr>
          <w:rFonts w:ascii="Arial" w:hAnsi="Arial" w:cs="Arial"/>
          <w:b/>
          <w:i/>
          <w:sz w:val="24"/>
        </w:rPr>
        <w:t>,00 eura</w:t>
      </w:r>
      <w:r>
        <w:rPr>
          <w:rFonts w:ascii="Arial" w:hAnsi="Arial" w:cs="Arial"/>
          <w:sz w:val="24"/>
        </w:rPr>
        <w:t xml:space="preserve">. Do ovog </w:t>
      </w:r>
      <w:r w:rsidR="00B60E7A">
        <w:rPr>
          <w:rFonts w:ascii="Arial" w:hAnsi="Arial" w:cs="Arial"/>
          <w:sz w:val="24"/>
        </w:rPr>
        <w:t xml:space="preserve">smanjenja je došlo zbog odlaska jedne učiteljice na </w:t>
      </w:r>
      <w:proofErr w:type="spellStart"/>
      <w:r w:rsidR="00B60E7A">
        <w:rPr>
          <w:rFonts w:ascii="Arial" w:hAnsi="Arial" w:cs="Arial"/>
          <w:sz w:val="24"/>
        </w:rPr>
        <w:t>rodiljni</w:t>
      </w:r>
      <w:proofErr w:type="spellEnd"/>
      <w:r w:rsidR="00B60E7A">
        <w:rPr>
          <w:rFonts w:ascii="Arial" w:hAnsi="Arial" w:cs="Arial"/>
          <w:sz w:val="24"/>
        </w:rPr>
        <w:t xml:space="preserve"> dopust te su se smanjili rashodi za plaće za navedenu učiteljicu za mjesec srpanj i kolovoz koja je financirana iz izvora 11 Opći prihodi i primici.</w:t>
      </w:r>
      <w:r>
        <w:rPr>
          <w:rFonts w:ascii="Arial" w:hAnsi="Arial" w:cs="Arial"/>
          <w:sz w:val="24"/>
        </w:rPr>
        <w:t xml:space="preserve"> </w:t>
      </w:r>
      <w:r w:rsidR="0041650D">
        <w:rPr>
          <w:rFonts w:ascii="Arial" w:hAnsi="Arial" w:cs="Arial"/>
          <w:sz w:val="24"/>
        </w:rPr>
        <w:t>Ujedno, smanjili su se i doprinosi na plaće za učiteljicu u produženom boravku radi korištenja mjere prema kojoj  je poslodavac oslobođen plaćanja doprinosa za osobu mlađu od 30 godina koja je kod njega zaposlena na neodređeno vrijeme.</w:t>
      </w:r>
    </w:p>
    <w:p w:rsidR="00811D71" w:rsidRDefault="00811D71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F2D05" w:rsidRDefault="000F2D05" w:rsidP="00DA6162">
      <w:pPr>
        <w:spacing w:after="0" w:line="360" w:lineRule="auto"/>
        <w:jc w:val="both"/>
        <w:rPr>
          <w:rFonts w:ascii="Arial" w:hAnsi="Arial" w:cs="Arial"/>
          <w:b/>
          <w:i/>
          <w:sz w:val="24"/>
        </w:rPr>
      </w:pPr>
      <w:r w:rsidRPr="000F2D05">
        <w:rPr>
          <w:rFonts w:ascii="Arial" w:hAnsi="Arial" w:cs="Arial"/>
          <w:b/>
          <w:i/>
          <w:sz w:val="24"/>
        </w:rPr>
        <w:t xml:space="preserve">A121023 Građanski odgoj </w:t>
      </w:r>
    </w:p>
    <w:p w:rsidR="000F2D05" w:rsidRDefault="000F2D05" w:rsidP="00DA616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Ovim izmjenama i dopunama nema planiranih povećanja tj. smanjenja </w:t>
      </w:r>
      <w:r w:rsidR="00E26355">
        <w:rPr>
          <w:rFonts w:ascii="Arial" w:hAnsi="Arial" w:cs="Arial"/>
          <w:sz w:val="24"/>
        </w:rPr>
        <w:t>rashoda. Planom je planirano 1.400,00 eura za provedbu ovog programa.</w:t>
      </w:r>
    </w:p>
    <w:p w:rsidR="0041650D" w:rsidRDefault="0041650D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811D71" w:rsidRDefault="00811D71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26355" w:rsidRDefault="00E26355" w:rsidP="00DA6162">
      <w:pPr>
        <w:spacing w:after="0" w:line="360" w:lineRule="auto"/>
        <w:jc w:val="both"/>
        <w:rPr>
          <w:rFonts w:ascii="Arial" w:hAnsi="Arial" w:cs="Arial"/>
          <w:b/>
          <w:i/>
          <w:sz w:val="24"/>
        </w:rPr>
      </w:pPr>
      <w:r w:rsidRPr="00E26355">
        <w:rPr>
          <w:rFonts w:ascii="Arial" w:hAnsi="Arial" w:cs="Arial"/>
          <w:b/>
          <w:i/>
          <w:sz w:val="24"/>
        </w:rPr>
        <w:lastRenderedPageBreak/>
        <w:t xml:space="preserve">A121025 Opskrba školskih ustanova besplatnim higijenskim potrepštinama </w:t>
      </w:r>
    </w:p>
    <w:p w:rsidR="00811D71" w:rsidRDefault="00E26355" w:rsidP="00DA616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sz w:val="24"/>
        </w:rPr>
        <w:t xml:space="preserve">Na temelju Odluke Ministarstva rada, školama su dodijeljena sredstva za nabavu menstrualnih higijenskih potrepština na području Varaždinske županije. Doznačena sredstva raspoređuju se prema broju učenica u školi prema dostupnim podacima Ministarstva znanosti i obrazovanja. Stoga je ovim izmjenama i dopunama financijski plan </w:t>
      </w:r>
      <w:r w:rsidR="00337A63">
        <w:rPr>
          <w:rFonts w:ascii="Arial" w:hAnsi="Arial" w:cs="Arial"/>
          <w:b/>
          <w:i/>
          <w:sz w:val="24"/>
        </w:rPr>
        <w:t>smanjen</w:t>
      </w:r>
      <w:r w:rsidRPr="00E26355">
        <w:rPr>
          <w:rFonts w:ascii="Arial" w:hAnsi="Arial" w:cs="Arial"/>
          <w:b/>
          <w:i/>
          <w:sz w:val="24"/>
        </w:rPr>
        <w:t xml:space="preserve"> za</w:t>
      </w:r>
      <w:r>
        <w:rPr>
          <w:rFonts w:ascii="Arial" w:hAnsi="Arial" w:cs="Arial"/>
          <w:sz w:val="24"/>
        </w:rPr>
        <w:t xml:space="preserve"> </w:t>
      </w:r>
      <w:r w:rsidR="00337A63">
        <w:rPr>
          <w:rFonts w:ascii="Arial" w:hAnsi="Arial" w:cs="Arial"/>
          <w:b/>
          <w:i/>
          <w:sz w:val="24"/>
        </w:rPr>
        <w:t>20,</w:t>
      </w:r>
      <w:r w:rsidRPr="00E26355">
        <w:rPr>
          <w:rFonts w:ascii="Arial" w:hAnsi="Arial" w:cs="Arial"/>
          <w:b/>
          <w:i/>
          <w:sz w:val="24"/>
        </w:rPr>
        <w:t>00 eura</w:t>
      </w:r>
      <w:r w:rsidR="00337A63">
        <w:rPr>
          <w:rFonts w:ascii="Arial" w:hAnsi="Arial" w:cs="Arial"/>
          <w:b/>
          <w:i/>
          <w:sz w:val="24"/>
        </w:rPr>
        <w:t xml:space="preserve"> </w:t>
      </w:r>
      <w:r w:rsidR="00337A63">
        <w:rPr>
          <w:rFonts w:ascii="Arial" w:hAnsi="Arial" w:cs="Arial"/>
          <w:sz w:val="24"/>
        </w:rPr>
        <w:t>te iznosi 130,00 eura zbog manje dobivenih sredstava radi smanjenja broja učenica</w:t>
      </w:r>
      <w:r>
        <w:rPr>
          <w:rFonts w:ascii="Arial" w:hAnsi="Arial" w:cs="Arial"/>
          <w:sz w:val="24"/>
        </w:rPr>
        <w:t>.</w:t>
      </w:r>
    </w:p>
    <w:p w:rsidR="00337A63" w:rsidRDefault="00337A63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37A63" w:rsidRDefault="00337A63" w:rsidP="00DA6162">
      <w:pPr>
        <w:spacing w:after="0" w:line="360" w:lineRule="auto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T121001 Školski medni dan</w:t>
      </w:r>
    </w:p>
    <w:p w:rsidR="00337A63" w:rsidRPr="00337A63" w:rsidRDefault="00337A63" w:rsidP="00337A63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Program Školski medni dan je nacionalni program kojeg provodi Ministarstvo poljoprivrede u suradnji s Hrvatskom agencijom za poljoprivredu i hranu te Hrvatskom pčelarskom udrugom, a s ciljem promicanja meda kao zdrave prehrambene namirnice te podizanje svijesti kod učenika prvih razreda o važnosti pčelarstva. Ovim izmjenama i dopunama nema planiranih povećanja odnosno smanjenja rashoda na toj poziciji te je prvobitno planirano 100,00 eura za provedbu ovog programa. </w:t>
      </w:r>
    </w:p>
    <w:p w:rsidR="00E26355" w:rsidRDefault="00E26355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26355" w:rsidRDefault="00E26355" w:rsidP="00DA6162">
      <w:pPr>
        <w:spacing w:after="0" w:line="360" w:lineRule="auto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A123001 </w:t>
      </w:r>
      <w:proofErr w:type="spellStart"/>
      <w:r>
        <w:rPr>
          <w:rFonts w:ascii="Arial" w:hAnsi="Arial" w:cs="Arial"/>
          <w:b/>
          <w:i/>
          <w:sz w:val="24"/>
        </w:rPr>
        <w:t>Odgojnoobrazovno</w:t>
      </w:r>
      <w:proofErr w:type="spellEnd"/>
      <w:r>
        <w:rPr>
          <w:rFonts w:ascii="Arial" w:hAnsi="Arial" w:cs="Arial"/>
          <w:b/>
          <w:i/>
          <w:sz w:val="24"/>
        </w:rPr>
        <w:t xml:space="preserve">, administrativno i tehničko osoblje </w:t>
      </w:r>
    </w:p>
    <w:p w:rsidR="00D37EB5" w:rsidRDefault="00E26355" w:rsidP="00D37EB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U okviru rashoda </w:t>
      </w:r>
      <w:proofErr w:type="spellStart"/>
      <w:r>
        <w:rPr>
          <w:rFonts w:ascii="Arial" w:hAnsi="Arial" w:cs="Arial"/>
          <w:sz w:val="24"/>
        </w:rPr>
        <w:t>odgojnoobrazovnog</w:t>
      </w:r>
      <w:proofErr w:type="spellEnd"/>
      <w:r>
        <w:rPr>
          <w:rFonts w:ascii="Arial" w:hAnsi="Arial" w:cs="Arial"/>
          <w:sz w:val="24"/>
        </w:rPr>
        <w:t xml:space="preserve">, administrativnog i tehničkog osoblja planirano je </w:t>
      </w:r>
      <w:r w:rsidRPr="00E26355">
        <w:rPr>
          <w:rFonts w:ascii="Arial" w:hAnsi="Arial" w:cs="Arial"/>
          <w:b/>
          <w:i/>
          <w:sz w:val="24"/>
        </w:rPr>
        <w:t xml:space="preserve">povećanje od </w:t>
      </w:r>
      <w:r w:rsidR="00337A63">
        <w:rPr>
          <w:rFonts w:ascii="Arial" w:hAnsi="Arial" w:cs="Arial"/>
          <w:b/>
          <w:i/>
          <w:sz w:val="24"/>
        </w:rPr>
        <w:t>33.550</w:t>
      </w:r>
      <w:r w:rsidRPr="00E26355">
        <w:rPr>
          <w:rFonts w:ascii="Arial" w:hAnsi="Arial" w:cs="Arial"/>
          <w:b/>
          <w:i/>
          <w:sz w:val="24"/>
        </w:rPr>
        <w:t>,00 eura</w:t>
      </w:r>
      <w:r>
        <w:rPr>
          <w:rFonts w:ascii="Arial" w:hAnsi="Arial" w:cs="Arial"/>
          <w:sz w:val="24"/>
        </w:rPr>
        <w:t>. Kroz ovu aktivnost financira se redovno poslovanje škole</w:t>
      </w:r>
      <w:r w:rsidR="00811D71">
        <w:rPr>
          <w:rFonts w:ascii="Arial" w:hAnsi="Arial" w:cs="Arial"/>
          <w:sz w:val="24"/>
        </w:rPr>
        <w:t xml:space="preserve">, a što uključuje rashode za zaposlene, rashode za materijal i energiju, rashode za usluge te ostale nespomenute rashode poslovanja. </w:t>
      </w:r>
      <w:r>
        <w:rPr>
          <w:rFonts w:ascii="Arial" w:hAnsi="Arial" w:cs="Arial"/>
          <w:sz w:val="24"/>
        </w:rPr>
        <w:t xml:space="preserve">Do ovog povećanja </w:t>
      </w:r>
      <w:r w:rsidR="00D37EB5">
        <w:rPr>
          <w:rFonts w:ascii="Arial" w:hAnsi="Arial" w:cs="Arial"/>
          <w:sz w:val="24"/>
        </w:rPr>
        <w:t>je došlo</w:t>
      </w:r>
      <w:r>
        <w:rPr>
          <w:rFonts w:ascii="Arial" w:hAnsi="Arial" w:cs="Arial"/>
          <w:sz w:val="24"/>
        </w:rPr>
        <w:t xml:space="preserve"> radi povećanja plaća </w:t>
      </w:r>
      <w:r w:rsidR="00337A63">
        <w:rPr>
          <w:rFonts w:ascii="Arial" w:hAnsi="Arial" w:cs="Arial"/>
          <w:sz w:val="24"/>
        </w:rPr>
        <w:t xml:space="preserve">zaposlenika </w:t>
      </w:r>
      <w:r w:rsidR="00D37EB5">
        <w:rPr>
          <w:rFonts w:ascii="Arial" w:hAnsi="Arial" w:cs="Arial"/>
          <w:sz w:val="24"/>
        </w:rPr>
        <w:t>odnosno proračunske osnovice za obračun plaća zaposlenika u javnim službama prema Odluci Vlade RH</w:t>
      </w:r>
      <w:r w:rsidR="00337A63">
        <w:rPr>
          <w:rFonts w:ascii="Arial" w:hAnsi="Arial" w:cs="Arial"/>
          <w:sz w:val="24"/>
        </w:rPr>
        <w:t xml:space="preserve"> </w:t>
      </w:r>
      <w:r w:rsidR="00811D71">
        <w:rPr>
          <w:rFonts w:ascii="Arial" w:hAnsi="Arial" w:cs="Arial"/>
          <w:sz w:val="24"/>
        </w:rPr>
        <w:t xml:space="preserve">te ostalih materijalnih naknada zaposlenika. Također, </w:t>
      </w:r>
      <w:r w:rsidR="00D37EB5">
        <w:rPr>
          <w:rFonts w:ascii="Arial" w:hAnsi="Arial" w:cs="Arial"/>
          <w:sz w:val="24"/>
        </w:rPr>
        <w:t xml:space="preserve">do povećanja je došlo i zbog planiranih radova na svim ulazima u školu u skladu s Planom sigurnosti školske ustanove. Ovim izmjenama i dopunama  obuhvaćeni su i dodatni rashodi za nabavu reflektirajućih traka za učenike prvih razreda, promociju Građanskog odgoja te izradu Plana sigurnosti i provedbu edukativne kampanje „Smanjuj rizik od katastrofa“. </w:t>
      </w:r>
    </w:p>
    <w:p w:rsidR="00811D71" w:rsidRDefault="00D37EB5" w:rsidP="00DA616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 ujedno najveće uvećanje u iznosu od 14.883,00 eura odnosi se na nabavu računala za potrebe opremanja informatičke učionice.</w:t>
      </w:r>
    </w:p>
    <w:p w:rsidR="003A2D3B" w:rsidRDefault="003A2D3B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A2D3B" w:rsidRDefault="003A2D3B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479E4" w:rsidRDefault="006479E4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811D71" w:rsidRDefault="00811D71" w:rsidP="00DA6162">
      <w:pPr>
        <w:spacing w:after="0" w:line="360" w:lineRule="auto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K123001 Izgradnja i održavanje školskih objekata</w:t>
      </w:r>
    </w:p>
    <w:p w:rsidR="005850B3" w:rsidRDefault="00811D71" w:rsidP="00DA616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sz w:val="24"/>
        </w:rPr>
        <w:t xml:space="preserve">Kroz ovu aktivnost škola planira manju dogradnju, obnovu i nabavu potrebne nefinancijske opreme za uspješno provođenje obrazovnih procesa. Ovim izmjenama i dopunama došlo je do </w:t>
      </w:r>
      <w:r w:rsidRPr="00811D71">
        <w:rPr>
          <w:rFonts w:ascii="Arial" w:hAnsi="Arial" w:cs="Arial"/>
          <w:b/>
          <w:i/>
          <w:sz w:val="24"/>
        </w:rPr>
        <w:t xml:space="preserve">povećanja u iznosu od </w:t>
      </w:r>
      <w:r w:rsidR="006479E4">
        <w:rPr>
          <w:rFonts w:ascii="Arial" w:hAnsi="Arial" w:cs="Arial"/>
          <w:b/>
          <w:i/>
          <w:sz w:val="24"/>
        </w:rPr>
        <w:t>20.223,00</w:t>
      </w:r>
      <w:r w:rsidRPr="00811D71">
        <w:rPr>
          <w:rFonts w:ascii="Arial" w:hAnsi="Arial" w:cs="Arial"/>
          <w:b/>
          <w:i/>
          <w:sz w:val="24"/>
        </w:rPr>
        <w:t xml:space="preserve"> eura</w:t>
      </w:r>
      <w:r w:rsidR="006479E4">
        <w:rPr>
          <w:rFonts w:ascii="Arial" w:hAnsi="Arial" w:cs="Arial"/>
          <w:sz w:val="24"/>
        </w:rPr>
        <w:t xml:space="preserve"> te novim planom rashodi na ovoj aktivnosti iznose 26.023,00 eura</w:t>
      </w:r>
      <w:r>
        <w:rPr>
          <w:rFonts w:ascii="Arial" w:hAnsi="Arial" w:cs="Arial"/>
          <w:sz w:val="24"/>
        </w:rPr>
        <w:t xml:space="preserve">. Ovo povećanje je razlog </w:t>
      </w:r>
      <w:r w:rsidR="006479E4">
        <w:rPr>
          <w:rFonts w:ascii="Arial" w:hAnsi="Arial" w:cs="Arial"/>
          <w:sz w:val="24"/>
        </w:rPr>
        <w:t xml:space="preserve">nabave računalne opreme potrebne za opremanje informatičke učionice, ugradnje sustava </w:t>
      </w:r>
      <w:proofErr w:type="spellStart"/>
      <w:r w:rsidR="006479E4">
        <w:rPr>
          <w:rFonts w:ascii="Arial" w:hAnsi="Arial" w:cs="Arial"/>
          <w:sz w:val="24"/>
        </w:rPr>
        <w:t>videonadzora</w:t>
      </w:r>
      <w:proofErr w:type="spellEnd"/>
      <w:r w:rsidR="006479E4">
        <w:rPr>
          <w:rFonts w:ascii="Arial" w:hAnsi="Arial" w:cs="Arial"/>
          <w:sz w:val="24"/>
        </w:rPr>
        <w:t xml:space="preserve">, zamjene dotrajalog namještaja u učionicama i nabave potrebne opreme za uređenje učionice na otvorenom te nabava i ugradnja klima uređaja za informatičku učionicu. </w:t>
      </w:r>
    </w:p>
    <w:p w:rsidR="006479E4" w:rsidRDefault="006479E4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479E4" w:rsidRDefault="006479E4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479E4" w:rsidRDefault="006479E4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5850B3" w:rsidRDefault="005850B3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5850B3" w:rsidRDefault="005850B3" w:rsidP="00DA616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Beletinec, </w:t>
      </w:r>
      <w:r w:rsidR="001374B1">
        <w:rPr>
          <w:rFonts w:ascii="Arial" w:hAnsi="Arial" w:cs="Arial"/>
          <w:sz w:val="24"/>
        </w:rPr>
        <w:t>27. listopad</w:t>
      </w:r>
      <w:r w:rsidR="006479E4">
        <w:rPr>
          <w:rFonts w:ascii="Arial" w:hAnsi="Arial" w:cs="Arial"/>
          <w:sz w:val="24"/>
        </w:rPr>
        <w:t xml:space="preserve"> 2025</w:t>
      </w:r>
      <w:r w:rsidR="00154DDC">
        <w:rPr>
          <w:rFonts w:ascii="Arial" w:hAnsi="Arial" w:cs="Arial"/>
          <w:sz w:val="24"/>
        </w:rPr>
        <w:t xml:space="preserve">. </w:t>
      </w:r>
      <w:r w:rsidR="006479E4">
        <w:rPr>
          <w:rFonts w:ascii="Arial" w:hAnsi="Arial" w:cs="Arial"/>
          <w:sz w:val="24"/>
        </w:rPr>
        <w:t xml:space="preserve"> godine</w:t>
      </w:r>
    </w:p>
    <w:p w:rsidR="005F2DB6" w:rsidRDefault="005F2DB6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479E4" w:rsidRDefault="005850B3" w:rsidP="00DA616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KLASA</w:t>
      </w:r>
      <w:r w:rsidR="006479E4">
        <w:rPr>
          <w:rFonts w:ascii="Arial" w:hAnsi="Arial" w:cs="Arial"/>
          <w:sz w:val="24"/>
        </w:rPr>
        <w:t>:</w:t>
      </w:r>
      <w:r w:rsidR="005F2DB6">
        <w:rPr>
          <w:rFonts w:ascii="Arial" w:hAnsi="Arial" w:cs="Arial"/>
          <w:sz w:val="24"/>
        </w:rPr>
        <w:t xml:space="preserve"> 400-02/25-01/2</w:t>
      </w:r>
    </w:p>
    <w:p w:rsidR="005850B3" w:rsidRDefault="005850B3" w:rsidP="00DA616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URBROJ:</w:t>
      </w:r>
      <w:r w:rsidR="00FA3393">
        <w:rPr>
          <w:rFonts w:ascii="Arial" w:hAnsi="Arial" w:cs="Arial"/>
          <w:sz w:val="24"/>
        </w:rPr>
        <w:t xml:space="preserve"> </w:t>
      </w:r>
      <w:r w:rsidR="005F2DB6">
        <w:rPr>
          <w:rFonts w:ascii="Arial" w:hAnsi="Arial" w:cs="Arial"/>
          <w:sz w:val="24"/>
        </w:rPr>
        <w:t>2186-113-03-25-</w:t>
      </w:r>
      <w:r w:rsidR="001374B1">
        <w:rPr>
          <w:rFonts w:ascii="Arial" w:hAnsi="Arial" w:cs="Arial"/>
          <w:sz w:val="24"/>
        </w:rPr>
        <w:t>4</w:t>
      </w:r>
    </w:p>
    <w:p w:rsidR="006479E4" w:rsidRDefault="006479E4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479E4" w:rsidRDefault="006479E4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479E4" w:rsidRDefault="006479E4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479E4" w:rsidRDefault="006479E4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479E4" w:rsidRDefault="006479E4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5850B3" w:rsidRDefault="005850B3" w:rsidP="00DA6162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5850B3">
        <w:rPr>
          <w:rFonts w:ascii="Arial" w:hAnsi="Arial" w:cs="Arial"/>
          <w:b/>
          <w:sz w:val="24"/>
        </w:rPr>
        <w:t xml:space="preserve">PREDSJEDNICA ŠKOLSKOG ODBORA </w:t>
      </w:r>
    </w:p>
    <w:p w:rsidR="005850B3" w:rsidRDefault="005850B3" w:rsidP="00DA6162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   Biserka </w:t>
      </w:r>
      <w:proofErr w:type="spellStart"/>
      <w:r>
        <w:rPr>
          <w:rFonts w:ascii="Arial" w:hAnsi="Arial" w:cs="Arial"/>
          <w:b/>
          <w:sz w:val="24"/>
        </w:rPr>
        <w:t>Leskovar</w:t>
      </w:r>
      <w:proofErr w:type="spellEnd"/>
      <w:r>
        <w:rPr>
          <w:rFonts w:ascii="Arial" w:hAnsi="Arial" w:cs="Arial"/>
          <w:b/>
          <w:sz w:val="24"/>
        </w:rPr>
        <w:t xml:space="preserve"> </w:t>
      </w:r>
    </w:p>
    <w:p w:rsidR="00E26355" w:rsidRPr="00E26355" w:rsidRDefault="00E26355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26355" w:rsidRPr="000F2D05" w:rsidRDefault="00E26355" w:rsidP="00DA616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1559D0" w:rsidRPr="001559D0" w:rsidRDefault="001559D0" w:rsidP="001559D0">
      <w:pPr>
        <w:rPr>
          <w:rFonts w:ascii="Arial" w:hAnsi="Arial" w:cs="Arial"/>
          <w:sz w:val="24"/>
        </w:rPr>
      </w:pPr>
    </w:p>
    <w:p w:rsidR="001559D0" w:rsidRPr="001559D0" w:rsidRDefault="001559D0" w:rsidP="001559D0">
      <w:pPr>
        <w:rPr>
          <w:rFonts w:ascii="Arial" w:hAnsi="Arial" w:cs="Arial"/>
          <w:sz w:val="24"/>
        </w:rPr>
      </w:pPr>
    </w:p>
    <w:p w:rsidR="001559D0" w:rsidRPr="001559D0" w:rsidRDefault="001559D0" w:rsidP="001559D0">
      <w:pPr>
        <w:rPr>
          <w:rFonts w:ascii="Arial" w:hAnsi="Arial" w:cs="Arial"/>
          <w:sz w:val="24"/>
        </w:rPr>
      </w:pPr>
    </w:p>
    <w:p w:rsidR="00EE0C30" w:rsidRPr="001559D0" w:rsidRDefault="00EE0C30" w:rsidP="001559D0">
      <w:pPr>
        <w:rPr>
          <w:rFonts w:ascii="Arial" w:hAnsi="Arial" w:cs="Arial"/>
          <w:sz w:val="24"/>
        </w:rPr>
      </w:pPr>
    </w:p>
    <w:sectPr w:rsidR="00EE0C30" w:rsidRPr="001559D0" w:rsidSect="001334A0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2AA" w:rsidRDefault="008462AA" w:rsidP="003A2D3B">
      <w:pPr>
        <w:spacing w:after="0" w:line="240" w:lineRule="auto"/>
      </w:pPr>
      <w:r>
        <w:separator/>
      </w:r>
    </w:p>
  </w:endnote>
  <w:endnote w:type="continuationSeparator" w:id="0">
    <w:p w:rsidR="008462AA" w:rsidRDefault="008462AA" w:rsidP="003A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103586"/>
      <w:docPartObj>
        <w:docPartGallery w:val="Page Numbers (Bottom of Page)"/>
        <w:docPartUnique/>
      </w:docPartObj>
    </w:sdtPr>
    <w:sdtEndPr/>
    <w:sdtContent>
      <w:p w:rsidR="003A2D3B" w:rsidRDefault="005F2DB6" w:rsidP="001334A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8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2D3B" w:rsidRDefault="003A2D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2AA" w:rsidRDefault="008462AA" w:rsidP="003A2D3B">
      <w:pPr>
        <w:spacing w:after="0" w:line="240" w:lineRule="auto"/>
      </w:pPr>
      <w:r>
        <w:separator/>
      </w:r>
    </w:p>
  </w:footnote>
  <w:footnote w:type="continuationSeparator" w:id="0">
    <w:p w:rsidR="008462AA" w:rsidRDefault="008462AA" w:rsidP="003A2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F2069"/>
    <w:multiLevelType w:val="hybridMultilevel"/>
    <w:tmpl w:val="5650BE22"/>
    <w:lvl w:ilvl="0" w:tplc="5D46B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635F5"/>
    <w:multiLevelType w:val="hybridMultilevel"/>
    <w:tmpl w:val="94920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B616C"/>
    <w:multiLevelType w:val="hybridMultilevel"/>
    <w:tmpl w:val="4DC63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B7510"/>
    <w:multiLevelType w:val="hybridMultilevel"/>
    <w:tmpl w:val="942A9D44"/>
    <w:lvl w:ilvl="0" w:tplc="0F3A6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95D60"/>
    <w:multiLevelType w:val="hybridMultilevel"/>
    <w:tmpl w:val="F6FA61B0"/>
    <w:lvl w:ilvl="0" w:tplc="E6A86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072A3"/>
    <w:multiLevelType w:val="hybridMultilevel"/>
    <w:tmpl w:val="A2064E7E"/>
    <w:lvl w:ilvl="0" w:tplc="EF8A0B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56D8E"/>
    <w:multiLevelType w:val="multilevel"/>
    <w:tmpl w:val="F40C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547"/>
    <w:rsid w:val="0001746D"/>
    <w:rsid w:val="00047335"/>
    <w:rsid w:val="000A35C5"/>
    <w:rsid w:val="000A5E75"/>
    <w:rsid w:val="000B021D"/>
    <w:rsid w:val="000B7CB1"/>
    <w:rsid w:val="000C412A"/>
    <w:rsid w:val="000F2D05"/>
    <w:rsid w:val="00102543"/>
    <w:rsid w:val="001334A0"/>
    <w:rsid w:val="001374B1"/>
    <w:rsid w:val="00153C74"/>
    <w:rsid w:val="00154DDC"/>
    <w:rsid w:val="001559D0"/>
    <w:rsid w:val="00165478"/>
    <w:rsid w:val="001773B3"/>
    <w:rsid w:val="00185B6C"/>
    <w:rsid w:val="00273106"/>
    <w:rsid w:val="002B2700"/>
    <w:rsid w:val="002D4A07"/>
    <w:rsid w:val="00337A63"/>
    <w:rsid w:val="003738E8"/>
    <w:rsid w:val="0037665B"/>
    <w:rsid w:val="003931FE"/>
    <w:rsid w:val="003A2D3B"/>
    <w:rsid w:val="003D1AB9"/>
    <w:rsid w:val="003D1B33"/>
    <w:rsid w:val="0041650D"/>
    <w:rsid w:val="004367FC"/>
    <w:rsid w:val="00437ACA"/>
    <w:rsid w:val="0044632C"/>
    <w:rsid w:val="00467829"/>
    <w:rsid w:val="0047562A"/>
    <w:rsid w:val="00485E40"/>
    <w:rsid w:val="004B34A9"/>
    <w:rsid w:val="004C4547"/>
    <w:rsid w:val="004D3D7F"/>
    <w:rsid w:val="00547AA1"/>
    <w:rsid w:val="005850B3"/>
    <w:rsid w:val="005B262C"/>
    <w:rsid w:val="005C5A37"/>
    <w:rsid w:val="005F2DB6"/>
    <w:rsid w:val="006103CF"/>
    <w:rsid w:val="006107A5"/>
    <w:rsid w:val="006479E4"/>
    <w:rsid w:val="0065154C"/>
    <w:rsid w:val="006811D9"/>
    <w:rsid w:val="006A7F74"/>
    <w:rsid w:val="006C21C9"/>
    <w:rsid w:val="00704394"/>
    <w:rsid w:val="0071317D"/>
    <w:rsid w:val="00782D8F"/>
    <w:rsid w:val="00783C38"/>
    <w:rsid w:val="007908D0"/>
    <w:rsid w:val="00811D71"/>
    <w:rsid w:val="0081339C"/>
    <w:rsid w:val="008462AA"/>
    <w:rsid w:val="00876FDB"/>
    <w:rsid w:val="008828E7"/>
    <w:rsid w:val="008D20CB"/>
    <w:rsid w:val="00924D0B"/>
    <w:rsid w:val="0097188E"/>
    <w:rsid w:val="00982C5F"/>
    <w:rsid w:val="009B71CE"/>
    <w:rsid w:val="00A261B6"/>
    <w:rsid w:val="00A335C1"/>
    <w:rsid w:val="00A42B95"/>
    <w:rsid w:val="00AE44B0"/>
    <w:rsid w:val="00B1507E"/>
    <w:rsid w:val="00B32886"/>
    <w:rsid w:val="00B60E7A"/>
    <w:rsid w:val="00BA10E7"/>
    <w:rsid w:val="00BA75BD"/>
    <w:rsid w:val="00C25098"/>
    <w:rsid w:val="00C26326"/>
    <w:rsid w:val="00C35B30"/>
    <w:rsid w:val="00C568B6"/>
    <w:rsid w:val="00C77879"/>
    <w:rsid w:val="00C8195C"/>
    <w:rsid w:val="00C95FBF"/>
    <w:rsid w:val="00CB1322"/>
    <w:rsid w:val="00CB6AF1"/>
    <w:rsid w:val="00D215F9"/>
    <w:rsid w:val="00D35943"/>
    <w:rsid w:val="00D37EB5"/>
    <w:rsid w:val="00D8064C"/>
    <w:rsid w:val="00DA6162"/>
    <w:rsid w:val="00DA648B"/>
    <w:rsid w:val="00DC5E67"/>
    <w:rsid w:val="00DF196C"/>
    <w:rsid w:val="00E00AF5"/>
    <w:rsid w:val="00E015DF"/>
    <w:rsid w:val="00E121D1"/>
    <w:rsid w:val="00E13968"/>
    <w:rsid w:val="00E26355"/>
    <w:rsid w:val="00E50F12"/>
    <w:rsid w:val="00E56B0D"/>
    <w:rsid w:val="00E712A8"/>
    <w:rsid w:val="00E82FCE"/>
    <w:rsid w:val="00E853BF"/>
    <w:rsid w:val="00EE0C30"/>
    <w:rsid w:val="00EF3493"/>
    <w:rsid w:val="00F304E4"/>
    <w:rsid w:val="00F3668E"/>
    <w:rsid w:val="00F659D5"/>
    <w:rsid w:val="00F76B86"/>
    <w:rsid w:val="00FA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4BE34-F62A-4001-AC84-767DF7C6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46D"/>
  </w:style>
  <w:style w:type="paragraph" w:styleId="Naslov1">
    <w:name w:val="heading 1"/>
    <w:basedOn w:val="Normal"/>
    <w:next w:val="Normal"/>
    <w:link w:val="Naslov1Char"/>
    <w:uiPriority w:val="9"/>
    <w:qFormat/>
    <w:rsid w:val="003A2D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A2D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454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3C74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3A2D3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3A2D3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3A2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2D3B"/>
  </w:style>
  <w:style w:type="paragraph" w:styleId="Podnoje">
    <w:name w:val="footer"/>
    <w:basedOn w:val="Normal"/>
    <w:link w:val="PodnojeChar"/>
    <w:uiPriority w:val="99"/>
    <w:unhideWhenUsed/>
    <w:rsid w:val="003A2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2D3B"/>
  </w:style>
  <w:style w:type="paragraph" w:styleId="TOCNaslov">
    <w:name w:val="TOC Heading"/>
    <w:basedOn w:val="Naslov1"/>
    <w:next w:val="Normal"/>
    <w:uiPriority w:val="39"/>
    <w:semiHidden/>
    <w:unhideWhenUsed/>
    <w:qFormat/>
    <w:rsid w:val="001334A0"/>
    <w:pPr>
      <w:spacing w:line="276" w:lineRule="auto"/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1334A0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334A0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1334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REBALANS%202025\Pomo&#263;ne%20tablic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1400"/>
              <a:t>Grafikon 1. Prihodi i primici prema izvorima financiranja Izmjena i dopuna Financijskog plana za 2025. godinu </a:t>
            </a:r>
          </a:p>
        </c:rich>
      </c:tx>
      <c:layout>
        <c:manualLayout>
          <c:xMode val="edge"/>
          <c:yMode val="edge"/>
          <c:x val="0.12914882324792273"/>
          <c:y val="1.8301886792452846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759516248314326E-2"/>
          <c:y val="0.31244094488189"/>
          <c:w val="0.82638151998955933"/>
          <c:h val="0.68700490268905134"/>
        </c:manualLayout>
      </c:layout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Izvor: 11 Opći prihodi i primici
</a:t>
                    </a:r>
                    <a:r>
                      <a:rPr lang="en-US" b="1"/>
                      <a:t>1,51%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B4-44F5-BFC1-CD6C974D505C}"/>
                </c:ext>
              </c:extLst>
            </c:dLbl>
            <c:dLbl>
              <c:idx val="1"/>
              <c:layout>
                <c:manualLayout>
                  <c:x val="4.2229782050724321E-2"/>
                  <c:y val="-3.0186450750259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Izvor: 31 Vlastiti prihodi
</a:t>
                    </a:r>
                    <a:r>
                      <a:rPr lang="en-US" b="1"/>
                      <a:t>0,40%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B4-44F5-BFC1-CD6C974D505C}"/>
                </c:ext>
              </c:extLst>
            </c:dLbl>
            <c:dLbl>
              <c:idx val="2"/>
              <c:layout>
                <c:manualLayout>
                  <c:x val="0.22121302656316902"/>
                  <c:y val="-3.16154471446076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Izvor: 43 Ostali prihodi za posebne namjene
</a:t>
                    </a:r>
                    <a:r>
                      <a:rPr lang="en-US" b="1"/>
                      <a:t>3,28%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B4-44F5-BFC1-CD6C974D505C}"/>
                </c:ext>
              </c:extLst>
            </c:dLbl>
            <c:dLbl>
              <c:idx val="3"/>
              <c:layout>
                <c:manualLayout>
                  <c:x val="0.10411179985480538"/>
                  <c:y val="6.17601882969559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Izvor: 44 Decentralizirana sredstva
</a:t>
                    </a:r>
                    <a:r>
                      <a:rPr lang="en-US" b="1"/>
                      <a:t>10,15%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B4-44F5-BFC1-CD6C974D505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Izvor: 52 Ostale pomoći
</a:t>
                    </a:r>
                    <a:r>
                      <a:rPr lang="en-US" b="1"/>
                      <a:t>84,57%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1B4-44F5-BFC1-CD6C974D505C}"/>
                </c:ext>
              </c:extLst>
            </c:dLbl>
            <c:dLbl>
              <c:idx val="5"/>
              <c:layout>
                <c:manualLayout>
                  <c:x val="-0.2402490646116045"/>
                  <c:y val="2.244858837945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Izvor: 61 Donacije
</a:t>
                    </a:r>
                    <a:r>
                      <a:rPr lang="en-US" b="1"/>
                      <a:t>0,09%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B4-44F5-BFC1-CD6C974D505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List2!$A$11:$A$16</c:f>
              <c:strCache>
                <c:ptCount val="6"/>
                <c:pt idx="0">
                  <c:v>Izvor: 11 Opći prihodi i primici</c:v>
                </c:pt>
                <c:pt idx="1">
                  <c:v>Izvor: 31 Vlastiti prihodi</c:v>
                </c:pt>
                <c:pt idx="2">
                  <c:v>Izvor: 43 Ostali prihodi za posebne namjene</c:v>
                </c:pt>
                <c:pt idx="3">
                  <c:v>Izvor: 44 Decentralizirana sredstva</c:v>
                </c:pt>
                <c:pt idx="4">
                  <c:v>Izvor: 52 Ostale pomoći</c:v>
                </c:pt>
                <c:pt idx="5">
                  <c:v>Izvor: 61 Donacije</c:v>
                </c:pt>
              </c:strCache>
            </c:strRef>
          </c:cat>
          <c:val>
            <c:numRef>
              <c:f>List2!$C$11:$C$16</c:f>
              <c:numCache>
                <c:formatCode>0.00%</c:formatCode>
                <c:ptCount val="6"/>
                <c:pt idx="0">
                  <c:v>1.5089114535255275E-2</c:v>
                </c:pt>
                <c:pt idx="1">
                  <c:v>3.9574055852547654E-3</c:v>
                </c:pt>
                <c:pt idx="2">
                  <c:v>3.284101398849678E-2</c:v>
                </c:pt>
                <c:pt idx="3">
                  <c:v>0.10152438096590623</c:v>
                </c:pt>
                <c:pt idx="4">
                  <c:v>0.84570048995242486</c:v>
                </c:pt>
                <c:pt idx="5">
                  <c:v>8.8759497266207546E-4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1B4-44F5-BFC1-CD6C974D505C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E593D-A996-421A-AF28-FD8D2CDA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3248</TotalTime>
  <Pages>19</Pages>
  <Words>3395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36</cp:revision>
  <cp:lastPrinted>2025-08-26T22:06:00Z</cp:lastPrinted>
  <dcterms:created xsi:type="dcterms:W3CDTF">2024-07-03T06:21:00Z</dcterms:created>
  <dcterms:modified xsi:type="dcterms:W3CDTF">2025-10-23T12:36:00Z</dcterms:modified>
</cp:coreProperties>
</file>