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4CC" w:rsidRPr="00037169" w:rsidRDefault="00037169" w:rsidP="00037169">
      <w:pPr>
        <w:spacing w:line="360" w:lineRule="auto"/>
        <w:jc w:val="center"/>
        <w:rPr>
          <w:rFonts w:ascii="Arial" w:hAnsi="Arial" w:cs="Arial"/>
          <w:sz w:val="32"/>
        </w:rPr>
      </w:pPr>
      <w:r w:rsidRPr="00037169">
        <w:rPr>
          <w:rFonts w:ascii="Arial" w:hAnsi="Arial" w:cs="Arial"/>
          <w:sz w:val="32"/>
        </w:rPr>
        <w:t xml:space="preserve">REPUBLIKA HRVATSKA </w:t>
      </w:r>
    </w:p>
    <w:p w:rsidR="00037169" w:rsidRPr="00037169" w:rsidRDefault="00037169" w:rsidP="00037169">
      <w:pPr>
        <w:spacing w:line="360" w:lineRule="auto"/>
        <w:jc w:val="center"/>
        <w:rPr>
          <w:rFonts w:ascii="Arial" w:hAnsi="Arial" w:cs="Arial"/>
          <w:sz w:val="32"/>
        </w:rPr>
      </w:pPr>
      <w:r w:rsidRPr="00037169">
        <w:rPr>
          <w:rFonts w:ascii="Arial" w:hAnsi="Arial" w:cs="Arial"/>
          <w:sz w:val="32"/>
        </w:rPr>
        <w:t>VARAŽDINSKA ŽUPANIJA</w:t>
      </w:r>
    </w:p>
    <w:p w:rsidR="00037169" w:rsidRPr="00037169" w:rsidRDefault="00037169" w:rsidP="00037169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037169">
        <w:rPr>
          <w:rFonts w:ascii="Arial" w:hAnsi="Arial" w:cs="Arial"/>
          <w:b/>
          <w:sz w:val="32"/>
        </w:rPr>
        <w:t>OSNOVNA ŠKOLA BELETINEC</w:t>
      </w:r>
    </w:p>
    <w:p w:rsidR="00037169" w:rsidRDefault="00037169" w:rsidP="00037169">
      <w:pPr>
        <w:spacing w:line="360" w:lineRule="auto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sz w:val="24"/>
        </w:rPr>
      </w:pPr>
    </w:p>
    <w:p w:rsidR="00037169" w:rsidRDefault="00037169" w:rsidP="00037169">
      <w:pPr>
        <w:spacing w:line="360" w:lineRule="auto"/>
        <w:jc w:val="center"/>
        <w:rPr>
          <w:rFonts w:ascii="Arial" w:hAnsi="Arial" w:cs="Arial"/>
          <w:b/>
          <w:sz w:val="36"/>
        </w:rPr>
      </w:pPr>
      <w:r w:rsidRPr="00037169">
        <w:rPr>
          <w:rFonts w:ascii="Arial" w:hAnsi="Arial" w:cs="Arial"/>
          <w:b/>
          <w:sz w:val="36"/>
        </w:rPr>
        <w:t>OBRAZLOŽENJE OPĆEG DIJELA FINANCIJSKOG PLANA OS</w:t>
      </w:r>
      <w:r w:rsidR="00492786">
        <w:rPr>
          <w:rFonts w:ascii="Arial" w:hAnsi="Arial" w:cs="Arial"/>
          <w:b/>
          <w:sz w:val="36"/>
        </w:rPr>
        <w:t>N</w:t>
      </w:r>
      <w:r w:rsidRPr="00037169">
        <w:rPr>
          <w:rFonts w:ascii="Arial" w:hAnsi="Arial" w:cs="Arial"/>
          <w:b/>
          <w:sz w:val="36"/>
        </w:rPr>
        <w:t>OVNE ŠKOLE BELETINEC ZA 202</w:t>
      </w:r>
      <w:r w:rsidR="005B3417">
        <w:rPr>
          <w:rFonts w:ascii="Arial" w:hAnsi="Arial" w:cs="Arial"/>
          <w:b/>
          <w:sz w:val="36"/>
        </w:rPr>
        <w:t>6</w:t>
      </w:r>
      <w:r w:rsidRPr="00037169">
        <w:rPr>
          <w:rFonts w:ascii="Arial" w:hAnsi="Arial" w:cs="Arial"/>
          <w:b/>
          <w:sz w:val="36"/>
        </w:rPr>
        <w:t>. GODINU I PROJEKCIJE ZA 202</w:t>
      </w:r>
      <w:r w:rsidR="005B3417">
        <w:rPr>
          <w:rFonts w:ascii="Arial" w:hAnsi="Arial" w:cs="Arial"/>
          <w:b/>
          <w:sz w:val="36"/>
        </w:rPr>
        <w:t>7</w:t>
      </w:r>
      <w:r w:rsidRPr="00037169">
        <w:rPr>
          <w:rFonts w:ascii="Arial" w:hAnsi="Arial" w:cs="Arial"/>
          <w:b/>
          <w:sz w:val="36"/>
        </w:rPr>
        <w:t>. I 202</w:t>
      </w:r>
      <w:r w:rsidR="005B3417">
        <w:rPr>
          <w:rFonts w:ascii="Arial" w:hAnsi="Arial" w:cs="Arial"/>
          <w:b/>
          <w:sz w:val="36"/>
        </w:rPr>
        <w:t>8</w:t>
      </w:r>
      <w:r w:rsidRPr="00037169">
        <w:rPr>
          <w:rFonts w:ascii="Arial" w:hAnsi="Arial" w:cs="Arial"/>
          <w:b/>
          <w:sz w:val="36"/>
        </w:rPr>
        <w:t xml:space="preserve">. GODINU </w:t>
      </w:r>
    </w:p>
    <w:p w:rsidR="00F75104" w:rsidRDefault="00037169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03323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75104" w:rsidRDefault="00F75104">
          <w:pPr>
            <w:pStyle w:val="TOCNaslov"/>
          </w:pPr>
          <w:r w:rsidRPr="00F75104">
            <w:rPr>
              <w:color w:val="auto"/>
            </w:rPr>
            <w:t>SADRŽAJ</w:t>
          </w:r>
          <w:r>
            <w:rPr>
              <w:color w:val="auto"/>
            </w:rPr>
            <w:t>:</w:t>
          </w:r>
          <w:r w:rsidRPr="00F75104">
            <w:rPr>
              <w:color w:val="auto"/>
            </w:rPr>
            <w:t xml:space="preserve"> </w:t>
          </w:r>
        </w:p>
        <w:p w:rsidR="00F75104" w:rsidRPr="00F75104" w:rsidRDefault="00F75104" w:rsidP="00F75104">
          <w:pPr>
            <w:rPr>
              <w:lang w:eastAsia="hr-HR"/>
            </w:rPr>
          </w:pPr>
        </w:p>
        <w:p w:rsidR="00F75104" w:rsidRDefault="00F75104">
          <w:pPr>
            <w:pStyle w:val="Sadraj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679087" w:history="1">
            <w:r w:rsidRPr="009329FC">
              <w:rPr>
                <w:rStyle w:val="Hiperveza"/>
                <w:noProof/>
              </w:rPr>
              <w:t>1.</w:t>
            </w:r>
            <w:r>
              <w:rPr>
                <w:noProof/>
              </w:rPr>
              <w:tab/>
            </w:r>
            <w:r w:rsidRPr="009329FC">
              <w:rPr>
                <w:rStyle w:val="Hiperveza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_Toc180679087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80679088" w:history="1">
            <w:r w:rsidR="00F75104" w:rsidRPr="009329FC">
              <w:rPr>
                <w:rStyle w:val="Hiperveza"/>
                <w:noProof/>
              </w:rPr>
              <w:t>2.</w:t>
            </w:r>
            <w:r w:rsidR="00F75104">
              <w:rPr>
                <w:noProof/>
              </w:rPr>
              <w:tab/>
            </w:r>
            <w:r w:rsidR="00F75104" w:rsidRPr="009329FC">
              <w:rPr>
                <w:rStyle w:val="Hiperveza"/>
                <w:noProof/>
              </w:rPr>
              <w:t>PRIHODI I PRIMICI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_Toc180679088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4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89" w:history="1">
            <w:r w:rsidR="00F75104" w:rsidRPr="009329FC">
              <w:rPr>
                <w:rStyle w:val="Hiperveza"/>
                <w:b/>
                <w:i/>
                <w:noProof/>
              </w:rPr>
              <w:t>2.1 Pomoći iz inozemstva i od subjekata unutar općeg proračuna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_Toc180679089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5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0" w:history="1">
            <w:r w:rsidR="00F75104" w:rsidRPr="009329FC">
              <w:rPr>
                <w:rStyle w:val="Hiperveza"/>
                <w:b/>
                <w:i/>
                <w:noProof/>
              </w:rPr>
              <w:t>2.2 Prihodi od imovine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_Toc180679090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6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1" w:history="1">
            <w:r w:rsidR="00F75104" w:rsidRPr="009329FC">
              <w:rPr>
                <w:rStyle w:val="Hiperveza"/>
                <w:b/>
                <w:i/>
                <w:noProof/>
              </w:rPr>
              <w:t>2.3 Prihodi od upravnih i administrativnih pristojbi, pristojbi po posebnim propisima i naknada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_Toc180679091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6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2" w:history="1">
            <w:r w:rsidR="00F75104" w:rsidRPr="009329FC">
              <w:rPr>
                <w:rStyle w:val="Hiperveza"/>
                <w:b/>
                <w:i/>
                <w:noProof/>
              </w:rPr>
              <w:t>2.4 Prihodi od prodaje proizvoda i robe te pruženih usluga i prihodi od donacija te povrati po protestiranim jamstvima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_Toc180679092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6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3" w:history="1">
            <w:r w:rsidR="00F75104" w:rsidRPr="009329FC">
              <w:rPr>
                <w:rStyle w:val="Hiperveza"/>
                <w:b/>
                <w:i/>
                <w:noProof/>
              </w:rPr>
              <w:t>2.5 Prihodi iz nadležnog proračuna i od HZZO-a temeljem ugovornih obveza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_Toc180679093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7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4" w:history="1">
            <w:r w:rsidR="00F75104" w:rsidRPr="009329FC">
              <w:rPr>
                <w:rStyle w:val="Hiperveza"/>
                <w:b/>
                <w:i/>
                <w:noProof/>
              </w:rPr>
              <w:t>2.6 Prihodi i primici po izvorima financiranja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_Toc180679094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7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80679095" w:history="1">
            <w:r w:rsidR="00F75104" w:rsidRPr="009329FC">
              <w:rPr>
                <w:rStyle w:val="Hiperveza"/>
                <w:noProof/>
              </w:rPr>
              <w:t>3.</w:t>
            </w:r>
            <w:r w:rsidR="00F75104">
              <w:rPr>
                <w:noProof/>
              </w:rPr>
              <w:tab/>
            </w:r>
            <w:r w:rsidR="00F75104" w:rsidRPr="009329FC">
              <w:rPr>
                <w:rStyle w:val="Hiperveza"/>
                <w:noProof/>
              </w:rPr>
              <w:t>RASHODI I IZDACI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_Toc180679095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9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6" w:history="1">
            <w:r w:rsidR="00F75104" w:rsidRPr="009329FC">
              <w:rPr>
                <w:rStyle w:val="Hiperveza"/>
                <w:b/>
                <w:i/>
                <w:noProof/>
              </w:rPr>
              <w:t>3.1 Rashodi poslovanja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_Toc180679096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10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9A12A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180679097" w:history="1">
            <w:r w:rsidR="00F75104" w:rsidRPr="009329FC">
              <w:rPr>
                <w:rStyle w:val="Hiperveza"/>
                <w:b/>
                <w:i/>
                <w:noProof/>
              </w:rPr>
              <w:t>3.2 Rashodi za nabavu nefinancijske imovine</w:t>
            </w:r>
            <w:r w:rsidR="00F75104">
              <w:rPr>
                <w:noProof/>
                <w:webHidden/>
              </w:rPr>
              <w:tab/>
            </w:r>
            <w:r w:rsidR="00F75104">
              <w:rPr>
                <w:noProof/>
                <w:webHidden/>
              </w:rPr>
              <w:fldChar w:fldCharType="begin"/>
            </w:r>
            <w:r w:rsidR="00F75104">
              <w:rPr>
                <w:noProof/>
                <w:webHidden/>
              </w:rPr>
              <w:instrText xml:space="preserve"> PAGEREF _Toc180679097 \h </w:instrText>
            </w:r>
            <w:r w:rsidR="00F75104">
              <w:rPr>
                <w:noProof/>
                <w:webHidden/>
              </w:rPr>
            </w:r>
            <w:r w:rsidR="00F75104">
              <w:rPr>
                <w:noProof/>
                <w:webHidden/>
              </w:rPr>
              <w:fldChar w:fldCharType="separate"/>
            </w:r>
            <w:r w:rsidR="00C34DF0">
              <w:rPr>
                <w:noProof/>
                <w:webHidden/>
              </w:rPr>
              <w:t>11</w:t>
            </w:r>
            <w:r w:rsidR="00F75104">
              <w:rPr>
                <w:noProof/>
                <w:webHidden/>
              </w:rPr>
              <w:fldChar w:fldCharType="end"/>
            </w:r>
          </w:hyperlink>
        </w:p>
        <w:p w:rsidR="00F75104" w:rsidRDefault="00F75104">
          <w:r>
            <w:rPr>
              <w:b/>
              <w:bCs/>
            </w:rPr>
            <w:fldChar w:fldCharType="end"/>
          </w:r>
        </w:p>
      </w:sdtContent>
    </w:sdt>
    <w:p w:rsidR="00F75104" w:rsidRDefault="00F75104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 w:type="page"/>
      </w:r>
    </w:p>
    <w:p w:rsidR="00037169" w:rsidRDefault="00037169" w:rsidP="00037169">
      <w:pPr>
        <w:pStyle w:val="Naslov1"/>
        <w:numPr>
          <w:ilvl w:val="0"/>
          <w:numId w:val="2"/>
        </w:numPr>
      </w:pPr>
      <w:bookmarkStart w:id="1" w:name="_Toc180679087"/>
      <w:r w:rsidRPr="00037169">
        <w:lastRenderedPageBreak/>
        <w:t>UVOD</w:t>
      </w:r>
      <w:bookmarkEnd w:id="1"/>
    </w:p>
    <w:p w:rsidR="00037169" w:rsidRDefault="00037169" w:rsidP="00037169"/>
    <w:p w:rsidR="002C5246" w:rsidRDefault="00037169" w:rsidP="0003716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Sukladno Zakonu o proračunu (NN br. 144/21.), financijski plan proračunskog i izvanproračunskog korisnika sadrži kao i proračun: opći dio, posebni dio te obrazloženje općeg i posebnog dijela financijskog plana za trogodišnje razdoblje. Sadržaj i izgled financijskog plana proračunskog i izvanproračunskog korisnika Varaždinske županije propisan je Pravilnikom o planiranju u sustavu proračuna (NN br. 1/24.), člancima od 28. do zaključno s člankom 39. istog Pravilnika. Pravilnikom o planiranju u sustavu proračuna propisuje se način primjene modificiranog obračunskog načela </w:t>
      </w:r>
      <w:r w:rsidR="002C5246">
        <w:rPr>
          <w:rFonts w:ascii="Arial" w:hAnsi="Arial" w:cs="Arial"/>
          <w:sz w:val="24"/>
        </w:rPr>
        <w:t>u postupku planiranja i izvršavanja proračuna Jedinica lokalne i područne (regionalne) samouprave te financijskog plana njenih korisnika, izgled i sadržaj proračuna i financijskog plana, njihova dostava i objava.</w:t>
      </w:r>
    </w:p>
    <w:p w:rsidR="002C5246" w:rsidRDefault="002C5246" w:rsidP="0003716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financijskom planu škole se uz podatke o planu za proračunsku godinu (202</w:t>
      </w:r>
      <w:r w:rsidR="005B341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.) i sljedeće dvije projekcijske godine (202</w:t>
      </w:r>
      <w:r w:rsidR="005B3417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i 202</w:t>
      </w:r>
      <w:r w:rsidR="005B3417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.) iskazuju i podaci o tekućem planu za 202</w:t>
      </w:r>
      <w:r w:rsidR="005B341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 godinu u kojoj se financijski plan izrađuje te podaci o izvršenju za izvještajno razdoblje godine koja prethodi godini u kojoj se financijski plan izrađuje tj. 202</w:t>
      </w:r>
      <w:r w:rsidR="005B3417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 godina.</w:t>
      </w:r>
    </w:p>
    <w:p w:rsidR="002C5246" w:rsidRDefault="002C5246" w:rsidP="0003716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obrazloženju općeg dijela financijskog plana proračunskog i izvanproračunskog korisnika daje se opća slika financijskog plana kroz obrazloženje ukupnih prihoda, primitaka, rashoda i izdataka. Posebni dio obrazloženja financijskog plana proračunskog korisnika sastoji se od obrazloženja programa kroz aktivnosti i projekte zajedno s ciljevima i pokazateljima uspješnosti. </w:t>
      </w:r>
    </w:p>
    <w:p w:rsidR="002C5246" w:rsidRDefault="002C5246" w:rsidP="0003716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Financijsk</w:t>
      </w:r>
      <w:r w:rsidR="00DC35A1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plan Osnovne škole Beletinec za 202</w:t>
      </w:r>
      <w:r w:rsidR="005B341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godinu iznosi </w:t>
      </w:r>
      <w:r w:rsidR="005B3417">
        <w:rPr>
          <w:rFonts w:ascii="Arial" w:hAnsi="Arial" w:cs="Arial"/>
          <w:b/>
          <w:i/>
          <w:sz w:val="24"/>
        </w:rPr>
        <w:t>839.810</w:t>
      </w:r>
      <w:r>
        <w:rPr>
          <w:rFonts w:ascii="Arial" w:hAnsi="Arial" w:cs="Arial"/>
          <w:b/>
          <w:i/>
          <w:sz w:val="24"/>
        </w:rPr>
        <w:t xml:space="preserve">,00 eura </w:t>
      </w:r>
      <w:r>
        <w:rPr>
          <w:rFonts w:ascii="Arial" w:hAnsi="Arial" w:cs="Arial"/>
          <w:sz w:val="24"/>
        </w:rPr>
        <w:t>kao i projekcije za 202</w:t>
      </w:r>
      <w:r w:rsidR="005B3417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i 202</w:t>
      </w:r>
      <w:r w:rsidR="005B3417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 godinu. U odnosu na predloženi rebalans za 202</w:t>
      </w:r>
      <w:r w:rsidR="005B341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prijedlog plana nije se znatno mijenjao, uvećan je za </w:t>
      </w:r>
      <w:r w:rsidR="005B3417">
        <w:rPr>
          <w:rFonts w:ascii="Arial" w:hAnsi="Arial" w:cs="Arial"/>
          <w:sz w:val="24"/>
        </w:rPr>
        <w:t>6,49</w:t>
      </w:r>
      <w:r>
        <w:rPr>
          <w:rFonts w:ascii="Arial" w:hAnsi="Arial" w:cs="Arial"/>
          <w:sz w:val="24"/>
        </w:rPr>
        <w:t xml:space="preserve">%. </w:t>
      </w:r>
      <w:r w:rsidR="002B16CF">
        <w:rPr>
          <w:rFonts w:ascii="Arial" w:hAnsi="Arial" w:cs="Arial"/>
          <w:sz w:val="24"/>
        </w:rPr>
        <w:t>U odnosu na rebalans za 202</w:t>
      </w:r>
      <w:r w:rsidR="005B3417">
        <w:rPr>
          <w:rFonts w:ascii="Arial" w:hAnsi="Arial" w:cs="Arial"/>
          <w:sz w:val="24"/>
        </w:rPr>
        <w:t>5</w:t>
      </w:r>
      <w:r w:rsidR="002B16CF">
        <w:rPr>
          <w:rFonts w:ascii="Arial" w:hAnsi="Arial" w:cs="Arial"/>
          <w:sz w:val="24"/>
        </w:rPr>
        <w:t xml:space="preserve">. godinu, rashodi poslovanja uvećani su za </w:t>
      </w:r>
      <w:r w:rsidR="005B3417">
        <w:rPr>
          <w:rFonts w:ascii="Arial" w:hAnsi="Arial" w:cs="Arial"/>
          <w:sz w:val="24"/>
        </w:rPr>
        <w:t>7,84</w:t>
      </w:r>
      <w:r w:rsidR="002B16CF">
        <w:rPr>
          <w:rFonts w:ascii="Arial" w:hAnsi="Arial" w:cs="Arial"/>
          <w:sz w:val="24"/>
        </w:rPr>
        <w:t xml:space="preserve">% te oni iznose </w:t>
      </w:r>
      <w:r w:rsidR="005B3417">
        <w:rPr>
          <w:rFonts w:ascii="Arial" w:hAnsi="Arial" w:cs="Arial"/>
          <w:sz w:val="24"/>
        </w:rPr>
        <w:t>824.960</w:t>
      </w:r>
      <w:r w:rsidR="002B16CF">
        <w:rPr>
          <w:rFonts w:ascii="Arial" w:hAnsi="Arial" w:cs="Arial"/>
          <w:sz w:val="24"/>
        </w:rPr>
        <w:t>,00 eura. Rashodi za nabavu nefinancijske imovine financijskim planom za 202</w:t>
      </w:r>
      <w:r w:rsidR="005B3417">
        <w:rPr>
          <w:rFonts w:ascii="Arial" w:hAnsi="Arial" w:cs="Arial"/>
          <w:sz w:val="24"/>
        </w:rPr>
        <w:t>6</w:t>
      </w:r>
      <w:r w:rsidR="002B16CF">
        <w:rPr>
          <w:rFonts w:ascii="Arial" w:hAnsi="Arial" w:cs="Arial"/>
          <w:sz w:val="24"/>
        </w:rPr>
        <w:t>. godinu kao i projekcijama za 202</w:t>
      </w:r>
      <w:r w:rsidR="005B3417">
        <w:rPr>
          <w:rFonts w:ascii="Arial" w:hAnsi="Arial" w:cs="Arial"/>
          <w:sz w:val="24"/>
        </w:rPr>
        <w:t>7</w:t>
      </w:r>
      <w:r w:rsidR="002B16CF">
        <w:rPr>
          <w:rFonts w:ascii="Arial" w:hAnsi="Arial" w:cs="Arial"/>
          <w:sz w:val="24"/>
        </w:rPr>
        <w:t>. i 202</w:t>
      </w:r>
      <w:r w:rsidR="005B3417">
        <w:rPr>
          <w:rFonts w:ascii="Arial" w:hAnsi="Arial" w:cs="Arial"/>
          <w:sz w:val="24"/>
        </w:rPr>
        <w:t>8</w:t>
      </w:r>
      <w:r w:rsidR="002B16CF">
        <w:rPr>
          <w:rFonts w:ascii="Arial" w:hAnsi="Arial" w:cs="Arial"/>
          <w:sz w:val="24"/>
        </w:rPr>
        <w:t xml:space="preserve">. godinu planirani su u iznosu od </w:t>
      </w:r>
      <w:r w:rsidR="005B3417">
        <w:rPr>
          <w:rFonts w:ascii="Arial" w:hAnsi="Arial" w:cs="Arial"/>
          <w:sz w:val="24"/>
        </w:rPr>
        <w:t>14.850</w:t>
      </w:r>
      <w:r w:rsidR="002B16CF">
        <w:rPr>
          <w:rFonts w:ascii="Arial" w:hAnsi="Arial" w:cs="Arial"/>
          <w:sz w:val="24"/>
        </w:rPr>
        <w:t xml:space="preserve">,00 eura što je za </w:t>
      </w:r>
      <w:r w:rsidR="005B3417">
        <w:rPr>
          <w:rFonts w:ascii="Arial" w:hAnsi="Arial" w:cs="Arial"/>
          <w:sz w:val="24"/>
        </w:rPr>
        <w:t>58,09</w:t>
      </w:r>
      <w:r w:rsidR="00C40195">
        <w:rPr>
          <w:rFonts w:ascii="Arial" w:hAnsi="Arial" w:cs="Arial"/>
          <w:sz w:val="24"/>
        </w:rPr>
        <w:t>% manje nego što je bilo planirano rebalansom u 202</w:t>
      </w:r>
      <w:r w:rsidR="005B3417">
        <w:rPr>
          <w:rFonts w:ascii="Arial" w:hAnsi="Arial" w:cs="Arial"/>
          <w:sz w:val="24"/>
        </w:rPr>
        <w:t>5</w:t>
      </w:r>
      <w:r w:rsidR="00C40195">
        <w:rPr>
          <w:rFonts w:ascii="Arial" w:hAnsi="Arial" w:cs="Arial"/>
          <w:sz w:val="24"/>
        </w:rPr>
        <w:t xml:space="preserve">. godini. </w:t>
      </w:r>
      <w:r w:rsidR="00CC357C">
        <w:rPr>
          <w:rFonts w:ascii="Arial" w:hAnsi="Arial" w:cs="Arial"/>
          <w:sz w:val="24"/>
        </w:rPr>
        <w:t>Sažetak financijskog plana za 202</w:t>
      </w:r>
      <w:r w:rsidR="005B3417">
        <w:rPr>
          <w:rFonts w:ascii="Arial" w:hAnsi="Arial" w:cs="Arial"/>
          <w:sz w:val="24"/>
        </w:rPr>
        <w:t>6</w:t>
      </w:r>
      <w:r w:rsidR="00CC357C">
        <w:rPr>
          <w:rFonts w:ascii="Arial" w:hAnsi="Arial" w:cs="Arial"/>
          <w:sz w:val="24"/>
        </w:rPr>
        <w:t>. godinu i projekcije za 202</w:t>
      </w:r>
      <w:r w:rsidR="005B3417">
        <w:rPr>
          <w:rFonts w:ascii="Arial" w:hAnsi="Arial" w:cs="Arial"/>
          <w:sz w:val="24"/>
        </w:rPr>
        <w:t>7</w:t>
      </w:r>
      <w:r w:rsidR="00CC357C">
        <w:rPr>
          <w:rFonts w:ascii="Arial" w:hAnsi="Arial" w:cs="Arial"/>
          <w:sz w:val="24"/>
        </w:rPr>
        <w:t>. i 202</w:t>
      </w:r>
      <w:r w:rsidR="005B3417">
        <w:rPr>
          <w:rFonts w:ascii="Arial" w:hAnsi="Arial" w:cs="Arial"/>
          <w:sz w:val="24"/>
        </w:rPr>
        <w:t>8</w:t>
      </w:r>
      <w:r w:rsidR="00CC357C">
        <w:rPr>
          <w:rFonts w:ascii="Arial" w:hAnsi="Arial" w:cs="Arial"/>
          <w:sz w:val="24"/>
        </w:rPr>
        <w:t xml:space="preserve">. godinu prikazane su u </w:t>
      </w:r>
      <w:r w:rsidR="00CC357C" w:rsidRPr="00CC357C">
        <w:rPr>
          <w:rFonts w:ascii="Arial" w:hAnsi="Arial" w:cs="Arial"/>
          <w:b/>
          <w:i/>
          <w:sz w:val="24"/>
        </w:rPr>
        <w:t>Tablici 1.</w:t>
      </w:r>
      <w:r w:rsidR="00CC357C">
        <w:rPr>
          <w:rFonts w:ascii="Arial" w:hAnsi="Arial" w:cs="Arial"/>
          <w:sz w:val="24"/>
        </w:rPr>
        <w:t xml:space="preserve">, koja se nalazi ispod. </w:t>
      </w:r>
    </w:p>
    <w:p w:rsidR="00CC357C" w:rsidRDefault="00CC357C" w:rsidP="00037169">
      <w:pPr>
        <w:spacing w:line="360" w:lineRule="auto"/>
        <w:jc w:val="both"/>
        <w:rPr>
          <w:rFonts w:ascii="Arial" w:hAnsi="Arial" w:cs="Arial"/>
          <w:sz w:val="24"/>
        </w:rPr>
      </w:pPr>
    </w:p>
    <w:p w:rsidR="00CC357C" w:rsidRDefault="00CC357C" w:rsidP="00037169">
      <w:pPr>
        <w:spacing w:line="360" w:lineRule="auto"/>
        <w:jc w:val="both"/>
        <w:rPr>
          <w:rFonts w:ascii="Arial" w:hAnsi="Arial" w:cs="Arial"/>
          <w:sz w:val="24"/>
        </w:rPr>
      </w:pPr>
      <w:r w:rsidRPr="00CC357C">
        <w:rPr>
          <w:rFonts w:ascii="Arial" w:hAnsi="Arial" w:cs="Arial"/>
          <w:b/>
          <w:i/>
          <w:sz w:val="24"/>
        </w:rPr>
        <w:lastRenderedPageBreak/>
        <w:t xml:space="preserve">Tablica 1. </w:t>
      </w:r>
      <w:r>
        <w:rPr>
          <w:rFonts w:ascii="Arial" w:hAnsi="Arial" w:cs="Arial"/>
          <w:sz w:val="24"/>
        </w:rPr>
        <w:t>Sažetak Financijskog plana za razdoblje 202</w:t>
      </w:r>
      <w:r w:rsidR="005B341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.-202</w:t>
      </w:r>
      <w:r w:rsidR="005B3417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. godine </w:t>
      </w:r>
    </w:p>
    <w:p w:rsidR="004072BB" w:rsidRDefault="00533E33" w:rsidP="00037169">
      <w:pPr>
        <w:spacing w:line="360" w:lineRule="auto"/>
        <w:jc w:val="both"/>
        <w:rPr>
          <w:rFonts w:ascii="Arial" w:hAnsi="Arial" w:cs="Arial"/>
          <w:sz w:val="24"/>
        </w:rPr>
      </w:pPr>
      <w:r w:rsidRPr="00533E33">
        <w:rPr>
          <w:noProof/>
        </w:rPr>
        <w:drawing>
          <wp:inline distT="0" distB="0" distL="0" distR="0">
            <wp:extent cx="5758712" cy="32766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912" cy="328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BB" w:rsidRPr="004072BB" w:rsidRDefault="004072BB" w:rsidP="004072BB">
      <w:pPr>
        <w:rPr>
          <w:rFonts w:ascii="Arial" w:hAnsi="Arial" w:cs="Arial"/>
          <w:sz w:val="24"/>
        </w:rPr>
      </w:pPr>
    </w:p>
    <w:p w:rsidR="004072BB" w:rsidRPr="004072BB" w:rsidRDefault="004072BB" w:rsidP="004072BB">
      <w:pPr>
        <w:rPr>
          <w:rFonts w:ascii="Arial" w:hAnsi="Arial" w:cs="Arial"/>
          <w:sz w:val="24"/>
        </w:rPr>
      </w:pPr>
    </w:p>
    <w:p w:rsidR="004072BB" w:rsidRPr="004072BB" w:rsidRDefault="004072BB" w:rsidP="004072BB">
      <w:pPr>
        <w:rPr>
          <w:rFonts w:ascii="Arial" w:hAnsi="Arial" w:cs="Arial"/>
          <w:sz w:val="24"/>
        </w:rPr>
      </w:pPr>
    </w:p>
    <w:p w:rsidR="004072BB" w:rsidRPr="004072BB" w:rsidRDefault="004072BB" w:rsidP="004072BB">
      <w:pPr>
        <w:rPr>
          <w:rFonts w:ascii="Arial" w:hAnsi="Arial" w:cs="Arial"/>
          <w:sz w:val="24"/>
        </w:rPr>
      </w:pPr>
    </w:p>
    <w:p w:rsidR="004072BB" w:rsidRPr="004072BB" w:rsidRDefault="004072BB" w:rsidP="004072BB">
      <w:pPr>
        <w:rPr>
          <w:rFonts w:ascii="Arial" w:hAnsi="Arial" w:cs="Arial"/>
          <w:sz w:val="24"/>
        </w:rPr>
      </w:pPr>
    </w:p>
    <w:p w:rsidR="004072BB" w:rsidRPr="004072BB" w:rsidRDefault="004072BB" w:rsidP="004072BB">
      <w:pPr>
        <w:rPr>
          <w:rFonts w:ascii="Arial" w:hAnsi="Arial" w:cs="Arial"/>
          <w:sz w:val="24"/>
        </w:rPr>
      </w:pPr>
    </w:p>
    <w:p w:rsidR="004072BB" w:rsidRDefault="004072BB" w:rsidP="004072BB">
      <w:pPr>
        <w:rPr>
          <w:rFonts w:ascii="Arial" w:hAnsi="Arial" w:cs="Arial"/>
          <w:sz w:val="24"/>
        </w:rPr>
      </w:pPr>
    </w:p>
    <w:p w:rsidR="004072BB" w:rsidRDefault="004072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C357C" w:rsidRDefault="004072BB" w:rsidP="004072BB">
      <w:pPr>
        <w:pStyle w:val="Naslov1"/>
        <w:numPr>
          <w:ilvl w:val="0"/>
          <w:numId w:val="2"/>
        </w:numPr>
      </w:pPr>
      <w:bookmarkStart w:id="2" w:name="_Toc180679088"/>
      <w:r>
        <w:lastRenderedPageBreak/>
        <w:t>PRIHODI I PRIMICI</w:t>
      </w:r>
      <w:bookmarkEnd w:id="2"/>
    </w:p>
    <w:p w:rsidR="004072BB" w:rsidRDefault="004072BB" w:rsidP="004072BB">
      <w:pPr>
        <w:rPr>
          <w:rFonts w:ascii="Arial" w:hAnsi="Arial" w:cs="Arial"/>
          <w:sz w:val="24"/>
        </w:rPr>
      </w:pPr>
    </w:p>
    <w:p w:rsidR="004072BB" w:rsidRDefault="004072BB" w:rsidP="004072B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Ukupni prihodi i primici za 202</w:t>
      </w:r>
      <w:r w:rsidR="00533E33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godinu, bez prenesenih viškova, predlažu se u iznosu od </w:t>
      </w:r>
      <w:r w:rsidR="00533E33">
        <w:rPr>
          <w:rFonts w:ascii="Arial" w:hAnsi="Arial" w:cs="Arial"/>
          <w:sz w:val="24"/>
        </w:rPr>
        <w:t>839.810</w:t>
      </w:r>
      <w:r w:rsidR="00E55453">
        <w:rPr>
          <w:rFonts w:ascii="Arial" w:hAnsi="Arial" w:cs="Arial"/>
          <w:sz w:val="24"/>
        </w:rPr>
        <w:t>,00 eura</w:t>
      </w:r>
      <w:r w:rsidR="00640EF1">
        <w:rPr>
          <w:rFonts w:ascii="Arial" w:hAnsi="Arial" w:cs="Arial"/>
          <w:sz w:val="24"/>
        </w:rPr>
        <w:t xml:space="preserve">, što je </w:t>
      </w:r>
      <w:r w:rsidR="0062298D">
        <w:rPr>
          <w:rFonts w:ascii="Arial" w:hAnsi="Arial" w:cs="Arial"/>
          <w:sz w:val="24"/>
        </w:rPr>
        <w:t xml:space="preserve">za </w:t>
      </w:r>
      <w:r w:rsidR="00533E33">
        <w:rPr>
          <w:rFonts w:ascii="Arial" w:hAnsi="Arial" w:cs="Arial"/>
          <w:sz w:val="24"/>
        </w:rPr>
        <w:t>51.162</w:t>
      </w:r>
      <w:r w:rsidR="0062298D">
        <w:rPr>
          <w:rFonts w:ascii="Arial" w:hAnsi="Arial" w:cs="Arial"/>
          <w:sz w:val="24"/>
        </w:rPr>
        <w:t xml:space="preserve">,00 eura tj. za </w:t>
      </w:r>
      <w:r w:rsidR="00533E33">
        <w:rPr>
          <w:rFonts w:ascii="Arial" w:hAnsi="Arial" w:cs="Arial"/>
          <w:sz w:val="24"/>
        </w:rPr>
        <w:t>6,49</w:t>
      </w:r>
      <w:r w:rsidR="0062298D">
        <w:rPr>
          <w:rFonts w:ascii="Arial" w:hAnsi="Arial" w:cs="Arial"/>
          <w:sz w:val="24"/>
        </w:rPr>
        <w:t>% više nego što je planirano rebalansom u 202</w:t>
      </w:r>
      <w:r w:rsidR="00533E33">
        <w:rPr>
          <w:rFonts w:ascii="Arial" w:hAnsi="Arial" w:cs="Arial"/>
          <w:sz w:val="24"/>
        </w:rPr>
        <w:t>5</w:t>
      </w:r>
      <w:r w:rsidR="0062298D">
        <w:rPr>
          <w:rFonts w:ascii="Arial" w:hAnsi="Arial" w:cs="Arial"/>
          <w:sz w:val="24"/>
        </w:rPr>
        <w:t>. godini. Projekcije za 202</w:t>
      </w:r>
      <w:r w:rsidR="00533E33">
        <w:rPr>
          <w:rFonts w:ascii="Arial" w:hAnsi="Arial" w:cs="Arial"/>
          <w:sz w:val="24"/>
        </w:rPr>
        <w:t>7</w:t>
      </w:r>
      <w:r w:rsidR="0062298D">
        <w:rPr>
          <w:rFonts w:ascii="Arial" w:hAnsi="Arial" w:cs="Arial"/>
          <w:sz w:val="24"/>
        </w:rPr>
        <w:t>. i 202</w:t>
      </w:r>
      <w:r w:rsidR="00533E33">
        <w:rPr>
          <w:rFonts w:ascii="Arial" w:hAnsi="Arial" w:cs="Arial"/>
          <w:sz w:val="24"/>
        </w:rPr>
        <w:t>8</w:t>
      </w:r>
      <w:r w:rsidR="0062298D">
        <w:rPr>
          <w:rFonts w:ascii="Arial" w:hAnsi="Arial" w:cs="Arial"/>
          <w:sz w:val="24"/>
        </w:rPr>
        <w:t>. godinu planirane su u istom iznosu kao i financijski plan za 202</w:t>
      </w:r>
      <w:r w:rsidR="00533E33">
        <w:rPr>
          <w:rFonts w:ascii="Arial" w:hAnsi="Arial" w:cs="Arial"/>
          <w:sz w:val="24"/>
        </w:rPr>
        <w:t>6</w:t>
      </w:r>
      <w:r w:rsidR="0062298D">
        <w:rPr>
          <w:rFonts w:ascii="Arial" w:hAnsi="Arial" w:cs="Arial"/>
          <w:sz w:val="24"/>
        </w:rPr>
        <w:t>. godinu.</w:t>
      </w:r>
      <w:r w:rsidR="00241FF3">
        <w:rPr>
          <w:rFonts w:ascii="Arial" w:hAnsi="Arial" w:cs="Arial"/>
          <w:sz w:val="24"/>
        </w:rPr>
        <w:t xml:space="preserve"> Tablicom ispod prikazani su planirani prihodi i primici financijskog plana za 202</w:t>
      </w:r>
      <w:r w:rsidR="00533E33">
        <w:rPr>
          <w:rFonts w:ascii="Arial" w:hAnsi="Arial" w:cs="Arial"/>
          <w:sz w:val="24"/>
        </w:rPr>
        <w:t>6</w:t>
      </w:r>
      <w:r w:rsidR="00241FF3">
        <w:rPr>
          <w:rFonts w:ascii="Arial" w:hAnsi="Arial" w:cs="Arial"/>
          <w:sz w:val="24"/>
        </w:rPr>
        <w:t>. godinu i projekcije za 202</w:t>
      </w:r>
      <w:r w:rsidR="00533E33">
        <w:rPr>
          <w:rFonts w:ascii="Arial" w:hAnsi="Arial" w:cs="Arial"/>
          <w:sz w:val="24"/>
        </w:rPr>
        <w:t>7</w:t>
      </w:r>
      <w:r w:rsidR="00241FF3">
        <w:rPr>
          <w:rFonts w:ascii="Arial" w:hAnsi="Arial" w:cs="Arial"/>
          <w:sz w:val="24"/>
        </w:rPr>
        <w:t>. i 202</w:t>
      </w:r>
      <w:r w:rsidR="00533E33">
        <w:rPr>
          <w:rFonts w:ascii="Arial" w:hAnsi="Arial" w:cs="Arial"/>
          <w:sz w:val="24"/>
        </w:rPr>
        <w:t>8</w:t>
      </w:r>
      <w:r w:rsidR="00241FF3">
        <w:rPr>
          <w:rFonts w:ascii="Arial" w:hAnsi="Arial" w:cs="Arial"/>
          <w:sz w:val="24"/>
        </w:rPr>
        <w:t xml:space="preserve">. godinu. </w:t>
      </w:r>
    </w:p>
    <w:p w:rsidR="0062298D" w:rsidRDefault="0062298D" w:rsidP="004072BB">
      <w:pPr>
        <w:spacing w:line="360" w:lineRule="auto"/>
        <w:jc w:val="both"/>
        <w:rPr>
          <w:rFonts w:ascii="Arial" w:hAnsi="Arial" w:cs="Arial"/>
          <w:sz w:val="24"/>
        </w:rPr>
      </w:pPr>
    </w:p>
    <w:p w:rsidR="0062298D" w:rsidRDefault="0062298D" w:rsidP="004072BB">
      <w:pPr>
        <w:spacing w:line="360" w:lineRule="auto"/>
        <w:jc w:val="both"/>
        <w:rPr>
          <w:rFonts w:ascii="Arial" w:hAnsi="Arial" w:cs="Arial"/>
          <w:sz w:val="24"/>
        </w:rPr>
      </w:pPr>
      <w:r w:rsidRPr="0062298D">
        <w:rPr>
          <w:rFonts w:ascii="Arial" w:hAnsi="Arial" w:cs="Arial"/>
          <w:b/>
          <w:i/>
          <w:sz w:val="24"/>
        </w:rPr>
        <w:t xml:space="preserve">Tablica 2. </w:t>
      </w:r>
      <w:r>
        <w:rPr>
          <w:rFonts w:ascii="Arial" w:hAnsi="Arial" w:cs="Arial"/>
          <w:sz w:val="24"/>
        </w:rPr>
        <w:t>Prihodi i primici Financijskog plana za 202</w:t>
      </w:r>
      <w:r w:rsidR="00533E33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godinu i projekcije za 202</w:t>
      </w:r>
      <w:r w:rsidR="00533E33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i 202</w:t>
      </w:r>
      <w:r w:rsidR="00533E33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 godinu</w:t>
      </w:r>
    </w:p>
    <w:p w:rsidR="0062298D" w:rsidRPr="0062298D" w:rsidRDefault="00533E33" w:rsidP="004072BB">
      <w:pPr>
        <w:spacing w:line="360" w:lineRule="auto"/>
        <w:jc w:val="both"/>
        <w:rPr>
          <w:rFonts w:ascii="Arial" w:hAnsi="Arial" w:cs="Arial"/>
          <w:sz w:val="24"/>
        </w:rPr>
      </w:pPr>
      <w:r w:rsidRPr="00533E33">
        <w:rPr>
          <w:noProof/>
        </w:rPr>
        <w:drawing>
          <wp:inline distT="0" distB="0" distL="0" distR="0">
            <wp:extent cx="5760191" cy="355282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34" cy="35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BB" w:rsidRDefault="008C2BCB" w:rsidP="004072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27CC6" w:rsidRPr="00B27CC6" w:rsidRDefault="00B27CC6" w:rsidP="00B27CC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Grafikonom 1. </w:t>
      </w:r>
      <w:r>
        <w:rPr>
          <w:rFonts w:ascii="Arial" w:hAnsi="Arial" w:cs="Arial"/>
          <w:sz w:val="24"/>
        </w:rPr>
        <w:t>koji se nalazi u nastavku, vidljivo je da se najveći dio prihoda i primitaka odnosi na pomoći iz inozemstva i od subjekata unutar opće proračuna (</w:t>
      </w:r>
      <w:r w:rsidR="00916744">
        <w:rPr>
          <w:rFonts w:ascii="Arial" w:hAnsi="Arial" w:cs="Arial"/>
          <w:sz w:val="24"/>
        </w:rPr>
        <w:t>86,05</w:t>
      </w:r>
      <w:r>
        <w:rPr>
          <w:rFonts w:ascii="Arial" w:hAnsi="Arial" w:cs="Arial"/>
          <w:sz w:val="24"/>
        </w:rPr>
        <w:t>%) , zatim slijede prihodi iz nadležnog proračuna i od HZZO-a temeljem ugovornih obveza (</w:t>
      </w:r>
      <w:r w:rsidR="00916744">
        <w:rPr>
          <w:rFonts w:ascii="Arial" w:hAnsi="Arial" w:cs="Arial"/>
          <w:sz w:val="24"/>
        </w:rPr>
        <w:t>9,65</w:t>
      </w:r>
      <w:r>
        <w:rPr>
          <w:rFonts w:ascii="Arial" w:hAnsi="Arial" w:cs="Arial"/>
          <w:sz w:val="24"/>
        </w:rPr>
        <w:t>%) i prihodi od upravnih i administrativnih pristojbi, pristojbi po posebnim propisima i naknada (3,</w:t>
      </w:r>
      <w:r w:rsidR="00701997">
        <w:rPr>
          <w:rFonts w:ascii="Arial" w:hAnsi="Arial" w:cs="Arial"/>
          <w:sz w:val="24"/>
        </w:rPr>
        <w:t>99</w:t>
      </w:r>
      <w:r>
        <w:rPr>
          <w:rFonts w:ascii="Arial" w:hAnsi="Arial" w:cs="Arial"/>
          <w:sz w:val="24"/>
        </w:rPr>
        <w:t>%). Prihodi od imovine i prihodi od prodaje proizvoda i robe te pružanih usluga i prihodi od donacija te povrati po protestiranim jamstvima nemaju značajan udio u sveukupnim prihodima (</w:t>
      </w:r>
      <w:r w:rsidR="00701997">
        <w:rPr>
          <w:rFonts w:ascii="Arial" w:hAnsi="Arial" w:cs="Arial"/>
          <w:sz w:val="24"/>
        </w:rPr>
        <w:t>0,31</w:t>
      </w:r>
      <w:r>
        <w:rPr>
          <w:rFonts w:ascii="Arial" w:hAnsi="Arial" w:cs="Arial"/>
          <w:sz w:val="24"/>
        </w:rPr>
        <w:t xml:space="preserve">%). </w:t>
      </w:r>
    </w:p>
    <w:p w:rsidR="00B27CC6" w:rsidRDefault="00701997" w:rsidP="004072B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5E3DF6E0">
            <wp:extent cx="5608320" cy="396601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58" cy="3974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7CC6" w:rsidRPr="00B27CC6" w:rsidRDefault="00B27CC6" w:rsidP="00B27CC6">
      <w:pPr>
        <w:rPr>
          <w:rFonts w:ascii="Arial" w:hAnsi="Arial" w:cs="Arial"/>
          <w:sz w:val="24"/>
        </w:rPr>
      </w:pPr>
    </w:p>
    <w:p w:rsidR="00B27CC6" w:rsidRPr="00B27CC6" w:rsidRDefault="00B27CC6" w:rsidP="00B27CC6">
      <w:pPr>
        <w:rPr>
          <w:rFonts w:ascii="Arial" w:hAnsi="Arial" w:cs="Arial"/>
          <w:sz w:val="24"/>
        </w:rPr>
      </w:pPr>
    </w:p>
    <w:p w:rsidR="00B27CC6" w:rsidRPr="00B27CC6" w:rsidRDefault="00B27CC6" w:rsidP="00B27CC6">
      <w:pPr>
        <w:pStyle w:val="Naslov2"/>
        <w:rPr>
          <w:b/>
          <w:i/>
        </w:rPr>
      </w:pPr>
      <w:bookmarkStart w:id="3" w:name="_Toc180679089"/>
      <w:r w:rsidRPr="00B27CC6">
        <w:rPr>
          <w:b/>
          <w:i/>
        </w:rPr>
        <w:t>2.1 Pomoći iz inozemstva i od subjekata unutar općeg proračuna</w:t>
      </w:r>
      <w:bookmarkEnd w:id="3"/>
      <w:r w:rsidRPr="00B27CC6">
        <w:rPr>
          <w:b/>
          <w:i/>
        </w:rPr>
        <w:t xml:space="preserve"> </w:t>
      </w:r>
    </w:p>
    <w:p w:rsidR="00B27CC6" w:rsidRPr="00B27CC6" w:rsidRDefault="00B27CC6" w:rsidP="00B27CC6">
      <w:pPr>
        <w:rPr>
          <w:rFonts w:ascii="Arial" w:hAnsi="Arial" w:cs="Arial"/>
          <w:sz w:val="24"/>
        </w:rPr>
      </w:pPr>
    </w:p>
    <w:p w:rsidR="00B27CC6" w:rsidRDefault="00B27CC6" w:rsidP="00AF0A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F0A7C">
        <w:rPr>
          <w:rFonts w:ascii="Arial" w:hAnsi="Arial" w:cs="Arial"/>
          <w:sz w:val="24"/>
        </w:rPr>
        <w:t xml:space="preserve">Pomoći iz inozemstva i od subjekata unutar općeg proračuna su najveći planirani prihodi i to u iznosu od </w:t>
      </w:r>
      <w:r w:rsidR="00701997">
        <w:rPr>
          <w:rFonts w:ascii="Arial" w:hAnsi="Arial" w:cs="Arial"/>
          <w:sz w:val="24"/>
        </w:rPr>
        <w:t>722.630,00</w:t>
      </w:r>
      <w:r w:rsidR="00AF0A7C">
        <w:rPr>
          <w:rFonts w:ascii="Arial" w:hAnsi="Arial" w:cs="Arial"/>
          <w:sz w:val="24"/>
        </w:rPr>
        <w:t xml:space="preserve"> eura. Ovi prihodi obuhvaćaju prihode za zaposlene, materijalna prava zaposlenika te prihode za financiranje školske prehrane financiran</w:t>
      </w:r>
      <w:r w:rsidR="00701997">
        <w:rPr>
          <w:rFonts w:ascii="Arial" w:hAnsi="Arial" w:cs="Arial"/>
          <w:sz w:val="24"/>
        </w:rPr>
        <w:t>e</w:t>
      </w:r>
      <w:r w:rsidR="00AF0A7C">
        <w:rPr>
          <w:rFonts w:ascii="Arial" w:hAnsi="Arial" w:cs="Arial"/>
          <w:sz w:val="24"/>
        </w:rPr>
        <w:t xml:space="preserve"> od strane Ministarstva znanosti, obrazovanja i mladih</w:t>
      </w:r>
      <w:r w:rsidR="00701997">
        <w:rPr>
          <w:rFonts w:ascii="Arial" w:hAnsi="Arial" w:cs="Arial"/>
          <w:sz w:val="24"/>
        </w:rPr>
        <w:t>, Školski medni dan i prihode dobivene iz državnog proračuna za financiranje besplatnih higijenskih potrepština</w:t>
      </w:r>
      <w:r w:rsidR="00AF0A7C">
        <w:rPr>
          <w:rFonts w:ascii="Arial" w:hAnsi="Arial" w:cs="Arial"/>
          <w:sz w:val="24"/>
        </w:rPr>
        <w:t xml:space="preserve">. </w:t>
      </w:r>
      <w:r w:rsidR="00701997">
        <w:rPr>
          <w:rFonts w:ascii="Arial" w:hAnsi="Arial" w:cs="Arial"/>
          <w:sz w:val="24"/>
        </w:rPr>
        <w:t>Također, u 2026. godini planirani su prihodi za provedbu projekta za darovite učenike i izvannastavne aktivnosti</w:t>
      </w:r>
      <w:r w:rsidR="00C657D5">
        <w:rPr>
          <w:rFonts w:ascii="Arial" w:hAnsi="Arial" w:cs="Arial"/>
          <w:sz w:val="24"/>
        </w:rPr>
        <w:t xml:space="preserve"> (INA)</w:t>
      </w:r>
      <w:r w:rsidR="00701997">
        <w:rPr>
          <w:rFonts w:ascii="Arial" w:hAnsi="Arial" w:cs="Arial"/>
          <w:sz w:val="24"/>
        </w:rPr>
        <w:t xml:space="preserve">. </w:t>
      </w:r>
      <w:r w:rsidR="00AF0A7C">
        <w:rPr>
          <w:rFonts w:ascii="Arial" w:hAnsi="Arial" w:cs="Arial"/>
          <w:sz w:val="24"/>
        </w:rPr>
        <w:t>U odnosu na rebalans 202</w:t>
      </w:r>
      <w:r w:rsidR="00701997">
        <w:rPr>
          <w:rFonts w:ascii="Arial" w:hAnsi="Arial" w:cs="Arial"/>
          <w:sz w:val="24"/>
        </w:rPr>
        <w:t>5</w:t>
      </w:r>
      <w:r w:rsidR="00AF0A7C">
        <w:rPr>
          <w:rFonts w:ascii="Arial" w:hAnsi="Arial" w:cs="Arial"/>
          <w:sz w:val="24"/>
        </w:rPr>
        <w:t>. godine, ovi prihodi financijskim planom za 202</w:t>
      </w:r>
      <w:r w:rsidR="00701997">
        <w:rPr>
          <w:rFonts w:ascii="Arial" w:hAnsi="Arial" w:cs="Arial"/>
          <w:sz w:val="24"/>
        </w:rPr>
        <w:t>6</w:t>
      </w:r>
      <w:r w:rsidR="00AF0A7C">
        <w:rPr>
          <w:rFonts w:ascii="Arial" w:hAnsi="Arial" w:cs="Arial"/>
          <w:sz w:val="24"/>
        </w:rPr>
        <w:t>. godinu i projekcijama za 202</w:t>
      </w:r>
      <w:r w:rsidR="00701997">
        <w:rPr>
          <w:rFonts w:ascii="Arial" w:hAnsi="Arial" w:cs="Arial"/>
          <w:sz w:val="24"/>
        </w:rPr>
        <w:t>7</w:t>
      </w:r>
      <w:r w:rsidR="00AF0A7C">
        <w:rPr>
          <w:rFonts w:ascii="Arial" w:hAnsi="Arial" w:cs="Arial"/>
          <w:sz w:val="24"/>
        </w:rPr>
        <w:t>. i 202</w:t>
      </w:r>
      <w:r w:rsidR="00701997">
        <w:rPr>
          <w:rFonts w:ascii="Arial" w:hAnsi="Arial" w:cs="Arial"/>
          <w:sz w:val="24"/>
        </w:rPr>
        <w:t>8</w:t>
      </w:r>
      <w:r w:rsidR="00AF0A7C">
        <w:rPr>
          <w:rFonts w:ascii="Arial" w:hAnsi="Arial" w:cs="Arial"/>
          <w:sz w:val="24"/>
        </w:rPr>
        <w:t xml:space="preserve">. godinu uvećani su za </w:t>
      </w:r>
      <w:r w:rsidR="00701997">
        <w:rPr>
          <w:rFonts w:ascii="Arial" w:hAnsi="Arial" w:cs="Arial"/>
          <w:sz w:val="24"/>
        </w:rPr>
        <w:t>8,35</w:t>
      </w:r>
      <w:r w:rsidR="00AF0A7C">
        <w:rPr>
          <w:rFonts w:ascii="Arial" w:hAnsi="Arial" w:cs="Arial"/>
          <w:sz w:val="24"/>
        </w:rPr>
        <w:t xml:space="preserve">%. </w:t>
      </w:r>
    </w:p>
    <w:p w:rsidR="00AF0A7C" w:rsidRDefault="00AF0A7C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A05A20" w:rsidRDefault="00A05A20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A05A20" w:rsidRDefault="00A05A20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AF0A7C" w:rsidRPr="00AF0A7C" w:rsidRDefault="00AF0A7C" w:rsidP="00AF0A7C">
      <w:pPr>
        <w:pStyle w:val="Naslov2"/>
        <w:rPr>
          <w:b/>
          <w:i/>
        </w:rPr>
      </w:pPr>
      <w:bookmarkStart w:id="4" w:name="_Toc180679090"/>
      <w:r>
        <w:rPr>
          <w:b/>
          <w:i/>
        </w:rPr>
        <w:lastRenderedPageBreak/>
        <w:t xml:space="preserve">2.2 </w:t>
      </w:r>
      <w:r w:rsidRPr="00AF0A7C">
        <w:rPr>
          <w:b/>
          <w:i/>
        </w:rPr>
        <w:t>Prihodi od imovine</w:t>
      </w:r>
      <w:bookmarkEnd w:id="4"/>
      <w:r w:rsidRPr="00AF0A7C">
        <w:rPr>
          <w:b/>
          <w:i/>
        </w:rPr>
        <w:t xml:space="preserve"> </w:t>
      </w:r>
    </w:p>
    <w:p w:rsidR="00B27CC6" w:rsidRDefault="00B27CC6" w:rsidP="00B27CC6">
      <w:pPr>
        <w:rPr>
          <w:rFonts w:ascii="Arial" w:hAnsi="Arial" w:cs="Arial"/>
          <w:sz w:val="24"/>
        </w:rPr>
      </w:pPr>
    </w:p>
    <w:p w:rsidR="00AF0A7C" w:rsidRDefault="00AF0A7C" w:rsidP="00AF0A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Prihodi od imovine su vlastiti prihodi i odnose se na kamate na depozite po viđenju. Financijskim planom 202</w:t>
      </w:r>
      <w:r w:rsidR="00C657D5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godine oni su planirani u iznosu od 1</w:t>
      </w:r>
      <w:r w:rsidR="00C657D5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0,00 eura.</w:t>
      </w:r>
    </w:p>
    <w:p w:rsidR="00AF0A7C" w:rsidRDefault="00AF0A7C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AF0A7C" w:rsidRDefault="00AF0A7C" w:rsidP="00A05A20">
      <w:pPr>
        <w:pStyle w:val="Naslov2"/>
        <w:rPr>
          <w:b/>
          <w:i/>
        </w:rPr>
      </w:pPr>
      <w:bookmarkStart w:id="5" w:name="_Toc180679091"/>
      <w:r w:rsidRPr="00A05A20">
        <w:rPr>
          <w:b/>
          <w:i/>
        </w:rPr>
        <w:t>2.3 Prihodi od upravnih i administrativnih pristojbi, pristojbi po posebnim propisima i naknada</w:t>
      </w:r>
      <w:bookmarkEnd w:id="5"/>
    </w:p>
    <w:p w:rsidR="00A05A20" w:rsidRPr="00A05A20" w:rsidRDefault="00A05A20" w:rsidP="00A05A20"/>
    <w:p w:rsidR="00AC04F3" w:rsidRDefault="00AF0A7C" w:rsidP="00AF0A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Ovi prihodi odnose se na sufinanciranje usluge produženog boravka od strane roditelja u fiksnom mjesečnom iznosu </w:t>
      </w:r>
      <w:r w:rsidR="00C657D5">
        <w:rPr>
          <w:rFonts w:ascii="Arial" w:hAnsi="Arial" w:cs="Arial"/>
          <w:sz w:val="24"/>
        </w:rPr>
        <w:t>koji se sa dosadašnjih 46,45 eura u 2026. godini povećava na 65,00 eura te su za provođenje programa produženog boravaka planirana sredstva u iznosu od 28.600,00 eura</w:t>
      </w:r>
      <w:r w:rsidR="00986C10">
        <w:rPr>
          <w:rFonts w:ascii="Arial" w:hAnsi="Arial" w:cs="Arial"/>
          <w:sz w:val="24"/>
        </w:rPr>
        <w:t>. Projekcija je rađena na broju planiranih učenika upisanih u produženi boravak (44 učenika).</w:t>
      </w:r>
      <w:r w:rsidR="00C657D5">
        <w:rPr>
          <w:rFonts w:ascii="Arial" w:hAnsi="Arial" w:cs="Arial"/>
          <w:sz w:val="24"/>
        </w:rPr>
        <w:t xml:space="preserve"> Kako se škola prijavila na projekt </w:t>
      </w:r>
      <w:proofErr w:type="spellStart"/>
      <w:r w:rsidR="00C657D5">
        <w:rPr>
          <w:rFonts w:ascii="Arial" w:hAnsi="Arial" w:cs="Arial"/>
          <w:sz w:val="24"/>
        </w:rPr>
        <w:t>sCOOLFOOD</w:t>
      </w:r>
      <w:proofErr w:type="spellEnd"/>
      <w:r w:rsidR="00C657D5">
        <w:rPr>
          <w:rFonts w:ascii="Arial" w:hAnsi="Arial" w:cs="Arial"/>
          <w:sz w:val="24"/>
        </w:rPr>
        <w:t xml:space="preserve"> </w:t>
      </w:r>
      <w:r w:rsidR="00986C10">
        <w:rPr>
          <w:rFonts w:ascii="Arial" w:hAnsi="Arial" w:cs="Arial"/>
          <w:sz w:val="24"/>
        </w:rPr>
        <w:t>program</w:t>
      </w:r>
      <w:r w:rsidR="00C657D5">
        <w:rPr>
          <w:rFonts w:ascii="Arial" w:hAnsi="Arial" w:cs="Arial"/>
          <w:sz w:val="24"/>
        </w:rPr>
        <w:t xml:space="preserve"> „Činimo dobro </w:t>
      </w:r>
      <w:r w:rsidR="00986C10">
        <w:rPr>
          <w:rFonts w:ascii="Arial" w:hAnsi="Arial" w:cs="Arial"/>
          <w:sz w:val="24"/>
        </w:rPr>
        <w:t>O</w:t>
      </w:r>
      <w:r w:rsidR="00C657D5">
        <w:rPr>
          <w:rFonts w:ascii="Arial" w:hAnsi="Arial" w:cs="Arial"/>
          <w:sz w:val="24"/>
        </w:rPr>
        <w:t>tiskom srca“</w:t>
      </w:r>
      <w:r w:rsidR="00986C10">
        <w:rPr>
          <w:rFonts w:ascii="Arial" w:hAnsi="Arial" w:cs="Arial"/>
          <w:sz w:val="24"/>
        </w:rPr>
        <w:t xml:space="preserve"> u 2026. godini planirani su prihodi za realizaciju tog projekta u iznosu od 4.000,00 eura. Ukupni planirani prihodi od upravnih i administrativnih pristojbi, pristojbi po posebnim propisima i naknadama planirani su u iznosu od 33.500,00 eura što je u odnosu na rebalans 2025. godine uvećano za 29,34%. </w:t>
      </w:r>
      <w:r w:rsidR="00C657D5">
        <w:rPr>
          <w:rFonts w:ascii="Arial" w:hAnsi="Arial" w:cs="Arial"/>
          <w:sz w:val="24"/>
        </w:rPr>
        <w:t xml:space="preserve"> </w:t>
      </w:r>
    </w:p>
    <w:p w:rsidR="00986C10" w:rsidRDefault="00986C10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AC04F3" w:rsidRDefault="00AC04F3" w:rsidP="00A05A20">
      <w:pPr>
        <w:pStyle w:val="Naslov2"/>
        <w:rPr>
          <w:b/>
          <w:i/>
        </w:rPr>
      </w:pPr>
      <w:bookmarkStart w:id="6" w:name="_Toc180679092"/>
      <w:r w:rsidRPr="00A05A20">
        <w:rPr>
          <w:b/>
          <w:i/>
        </w:rPr>
        <w:t>2.4 Pr</w:t>
      </w:r>
      <w:r w:rsidR="004A2A9A" w:rsidRPr="00A05A20">
        <w:rPr>
          <w:b/>
          <w:i/>
        </w:rPr>
        <w:t>ihodi od prodaje proizvoda i robe te pruženih usluga i prihodi od donacija te povrati po protestiranim jamstvima</w:t>
      </w:r>
      <w:bookmarkEnd w:id="6"/>
      <w:r w:rsidR="004A2A9A" w:rsidRPr="00A05A20">
        <w:rPr>
          <w:b/>
          <w:i/>
        </w:rPr>
        <w:t xml:space="preserve"> </w:t>
      </w:r>
    </w:p>
    <w:p w:rsidR="00A05A20" w:rsidRPr="00A05A20" w:rsidRDefault="00A05A20" w:rsidP="00A05A20"/>
    <w:p w:rsidR="004A2A9A" w:rsidRDefault="004A2A9A" w:rsidP="00AF0A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Ovi prihodi odnose se na prihode od prodaje proizvoda od učeničke zadruge i primljenih donacija od stalih subjekata izvan općeg proračuna te sredstva dobivena od najama učionica i školske dvorane. </w:t>
      </w:r>
      <w:r w:rsidR="00986C10">
        <w:rPr>
          <w:rFonts w:ascii="Arial" w:hAnsi="Arial" w:cs="Arial"/>
          <w:sz w:val="24"/>
        </w:rPr>
        <w:t xml:space="preserve">Prihodi od prodaje proizvoda učeničke zadruge u 2026. godini planirani su u iznosu od </w:t>
      </w:r>
      <w:r w:rsidR="00287D3B">
        <w:rPr>
          <w:rFonts w:ascii="Arial" w:hAnsi="Arial" w:cs="Arial"/>
          <w:sz w:val="24"/>
        </w:rPr>
        <w:t xml:space="preserve">120,00 eura. Prihodi od najma učionice za izvođenje nastave stranog jezika planirani su u iznosu od 2.100,00 eura dok su donacije planirani u iznosu od 300,00 eura. </w:t>
      </w:r>
      <w:r>
        <w:rPr>
          <w:rFonts w:ascii="Arial" w:hAnsi="Arial" w:cs="Arial"/>
          <w:sz w:val="24"/>
        </w:rPr>
        <w:t>Financijskim planom za 202</w:t>
      </w:r>
      <w:r w:rsidR="00287D3B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godinu i projekcijama za 202</w:t>
      </w:r>
      <w:r w:rsidR="00287D3B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i 202</w:t>
      </w:r>
      <w:r w:rsidR="00287D3B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. godinu ovi prihodi planirani su u iznosu od </w:t>
      </w:r>
      <w:r w:rsidR="00287D3B">
        <w:rPr>
          <w:rFonts w:ascii="Arial" w:hAnsi="Arial" w:cs="Arial"/>
          <w:sz w:val="24"/>
        </w:rPr>
        <w:t>2.520,00</w:t>
      </w:r>
      <w:r>
        <w:rPr>
          <w:rFonts w:ascii="Arial" w:hAnsi="Arial" w:cs="Arial"/>
          <w:sz w:val="24"/>
        </w:rPr>
        <w:t xml:space="preserve"> eura</w:t>
      </w:r>
      <w:r w:rsidR="00287D3B">
        <w:rPr>
          <w:rFonts w:ascii="Arial" w:hAnsi="Arial" w:cs="Arial"/>
          <w:sz w:val="24"/>
        </w:rPr>
        <w:t xml:space="preserve"> što je manje za 31,73% u odnosu na rebalans 2025. godine</w:t>
      </w:r>
      <w:r>
        <w:rPr>
          <w:rFonts w:ascii="Arial" w:hAnsi="Arial" w:cs="Arial"/>
          <w:sz w:val="24"/>
        </w:rPr>
        <w:t>. Ovi prihodi financirani su iz vlastitih izvora.</w:t>
      </w:r>
    </w:p>
    <w:p w:rsidR="004A2A9A" w:rsidRDefault="004A2A9A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4A2A9A" w:rsidRDefault="004A2A9A" w:rsidP="00A05A20">
      <w:pPr>
        <w:pStyle w:val="Naslov2"/>
        <w:rPr>
          <w:b/>
          <w:i/>
        </w:rPr>
      </w:pPr>
      <w:bookmarkStart w:id="7" w:name="_Toc180679093"/>
      <w:r w:rsidRPr="00A05A20">
        <w:rPr>
          <w:b/>
          <w:i/>
        </w:rPr>
        <w:lastRenderedPageBreak/>
        <w:t>2.5 Prihodi iz nadležnog proračuna i od HZZO-a temeljem ugovornih obveza</w:t>
      </w:r>
      <w:bookmarkEnd w:id="7"/>
    </w:p>
    <w:p w:rsidR="00A05A20" w:rsidRPr="00A05A20" w:rsidRDefault="00A05A20" w:rsidP="00A05A20"/>
    <w:p w:rsidR="004A2A9A" w:rsidRDefault="004A2A9A" w:rsidP="00AF0A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Prihodi iz nadležnog proračuna koriste se za financiranje redovne djelatnosti proračunskih korisnika na temelju Odluke o utvrđenim kriterijima, mjerilima i načinu financiranja minimalnog financijskog standarda javnih potreba u osnovnoj školi</w:t>
      </w:r>
      <w:r w:rsidR="00287D3B">
        <w:rPr>
          <w:rFonts w:ascii="Arial" w:hAnsi="Arial" w:cs="Arial"/>
          <w:sz w:val="24"/>
        </w:rPr>
        <w:t xml:space="preserve"> te provedbu projekta Građanskog odgoja i produženog boravka</w:t>
      </w:r>
      <w:r>
        <w:rPr>
          <w:rFonts w:ascii="Arial" w:hAnsi="Arial" w:cs="Arial"/>
          <w:sz w:val="24"/>
        </w:rPr>
        <w:t>. Financijskim planom za 202</w:t>
      </w:r>
      <w:r w:rsidR="00287D3B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godinu i projekcijama za 202</w:t>
      </w:r>
      <w:r w:rsidR="00287D3B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i 202</w:t>
      </w:r>
      <w:r w:rsidR="00287D3B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. godinu ovi prihodi planirani su u iznosu od </w:t>
      </w:r>
      <w:r w:rsidR="00287D3B">
        <w:rPr>
          <w:rFonts w:ascii="Arial" w:hAnsi="Arial" w:cs="Arial"/>
          <w:sz w:val="24"/>
        </w:rPr>
        <w:t>81.030,00</w:t>
      </w:r>
      <w:r>
        <w:rPr>
          <w:rFonts w:ascii="Arial" w:hAnsi="Arial" w:cs="Arial"/>
          <w:sz w:val="24"/>
        </w:rPr>
        <w:t xml:space="preserve"> eura. </w:t>
      </w:r>
      <w:r w:rsidR="00287D3B">
        <w:rPr>
          <w:rFonts w:ascii="Arial" w:hAnsi="Arial" w:cs="Arial"/>
          <w:sz w:val="24"/>
        </w:rPr>
        <w:t xml:space="preserve">Od toga za financiranje redovne djelatnosti iz decentraliziranih sredstava (Varaždinske županije) planirani su prihodi u iznosu od 61.870,00 eura. </w:t>
      </w:r>
      <w:r>
        <w:rPr>
          <w:rFonts w:ascii="Arial" w:hAnsi="Arial" w:cs="Arial"/>
          <w:sz w:val="24"/>
        </w:rPr>
        <w:t>U odnosu na rebalans 202</w:t>
      </w:r>
      <w:r w:rsidR="00287D3B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godine </w:t>
      </w:r>
      <w:r w:rsidR="00287D3B">
        <w:rPr>
          <w:rFonts w:ascii="Arial" w:hAnsi="Arial" w:cs="Arial"/>
          <w:sz w:val="24"/>
        </w:rPr>
        <w:t>ovi prihodi su manji za 11,89%</w:t>
      </w:r>
      <w:r>
        <w:rPr>
          <w:rFonts w:ascii="Arial" w:hAnsi="Arial" w:cs="Arial"/>
          <w:sz w:val="24"/>
        </w:rPr>
        <w:t>.</w:t>
      </w:r>
    </w:p>
    <w:p w:rsidR="004A2A9A" w:rsidRDefault="004A2A9A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4A2A9A" w:rsidRPr="00A05A20" w:rsidRDefault="004A2A9A" w:rsidP="00A05A20">
      <w:pPr>
        <w:pStyle w:val="Naslov2"/>
        <w:rPr>
          <w:b/>
          <w:i/>
        </w:rPr>
      </w:pPr>
      <w:bookmarkStart w:id="8" w:name="_Toc180679094"/>
      <w:r w:rsidRPr="00A05A20">
        <w:rPr>
          <w:b/>
          <w:i/>
        </w:rPr>
        <w:t>2.6 Prihodi i primici po izvorima financiranja</w:t>
      </w:r>
      <w:bookmarkEnd w:id="8"/>
    </w:p>
    <w:p w:rsidR="004A2A9A" w:rsidRDefault="004A2A9A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4A2A9A" w:rsidRDefault="004A2A9A" w:rsidP="00AF0A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Prihodi i primici razvrstani po izvorima financiranja prikazani su </w:t>
      </w:r>
      <w:r w:rsidRPr="004A2A9A">
        <w:rPr>
          <w:rFonts w:ascii="Arial" w:hAnsi="Arial" w:cs="Arial"/>
          <w:b/>
          <w:i/>
          <w:sz w:val="24"/>
        </w:rPr>
        <w:t xml:space="preserve">Grafikonom 2. </w:t>
      </w:r>
      <w:r>
        <w:rPr>
          <w:rFonts w:ascii="Arial" w:hAnsi="Arial" w:cs="Arial"/>
          <w:sz w:val="24"/>
        </w:rPr>
        <w:t xml:space="preserve">ispod iz kojeg je vidljivo da se najveći dio rashoda financira iz izvora Ostale pomoći </w:t>
      </w:r>
      <w:r w:rsidR="00430868">
        <w:rPr>
          <w:rFonts w:ascii="Arial" w:hAnsi="Arial" w:cs="Arial"/>
          <w:sz w:val="24"/>
        </w:rPr>
        <w:t>86,05</w:t>
      </w:r>
      <w:r w:rsidR="00945985">
        <w:rPr>
          <w:rFonts w:ascii="Arial" w:hAnsi="Arial" w:cs="Arial"/>
          <w:sz w:val="24"/>
        </w:rPr>
        <w:t>%. Ovi prihodi planirani su za plaće i materijalna prava zaposlenika te školsku prehranu učenika koju financira Ministarstvo znanosti, obrazovanja i mladih.</w:t>
      </w:r>
      <w:r w:rsidR="00430868">
        <w:rPr>
          <w:rFonts w:ascii="Arial" w:hAnsi="Arial" w:cs="Arial"/>
          <w:sz w:val="24"/>
        </w:rPr>
        <w:t xml:space="preserve"> Također, na ovom izvoru planirani su prihodi za provedbu projekta od strane nadležnog Ministarstva za izvannastavne aktivnosti (INU) te projekt za darovite učenike. </w:t>
      </w:r>
      <w:r w:rsidR="00945985">
        <w:rPr>
          <w:rFonts w:ascii="Arial" w:hAnsi="Arial" w:cs="Arial"/>
          <w:sz w:val="24"/>
        </w:rPr>
        <w:t xml:space="preserve">Na izvoru decentralizirana sredstva planiraju se prihodi za pokriće rashoda iz nadležnog proračuna za financiranje redovne djelatnosti škole, a koji su utvrđeni kriterijima, mjerilima i načinu financiranja minimalnog financijskog standarda javnih potreba. Udio prihoda planiranih na izvoru decentralizirana sredstva iznosi </w:t>
      </w:r>
      <w:r w:rsidR="00430868">
        <w:rPr>
          <w:rFonts w:ascii="Arial" w:hAnsi="Arial" w:cs="Arial"/>
          <w:sz w:val="24"/>
        </w:rPr>
        <w:t>7,37</w:t>
      </w:r>
      <w:r w:rsidR="00945985">
        <w:rPr>
          <w:rFonts w:ascii="Arial" w:hAnsi="Arial" w:cs="Arial"/>
          <w:sz w:val="24"/>
        </w:rPr>
        <w:t xml:space="preserve">%. Svi prihodi planirani po pojedinim izvorima mogu se utrošiti samo za unaprijed utvrđene namjene. </w:t>
      </w:r>
    </w:p>
    <w:p w:rsidR="00945985" w:rsidRPr="004A2A9A" w:rsidRDefault="00945985" w:rsidP="00AF0A7C">
      <w:pPr>
        <w:spacing w:line="360" w:lineRule="auto"/>
        <w:jc w:val="both"/>
        <w:rPr>
          <w:rFonts w:ascii="Arial" w:hAnsi="Arial" w:cs="Arial"/>
          <w:sz w:val="24"/>
        </w:rPr>
      </w:pPr>
    </w:p>
    <w:p w:rsidR="00B27CC6" w:rsidRDefault="00B27CC6" w:rsidP="00B27CC6">
      <w:pPr>
        <w:rPr>
          <w:rFonts w:ascii="Arial" w:hAnsi="Arial" w:cs="Arial"/>
          <w:sz w:val="24"/>
        </w:rPr>
      </w:pPr>
    </w:p>
    <w:p w:rsidR="00A05A20" w:rsidRDefault="00140EF9" w:rsidP="00B27CC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 wp14:anchorId="40C7F93F">
            <wp:simplePos x="0" y="0"/>
            <wp:positionH relativeFrom="column">
              <wp:posOffset>-223520</wp:posOffset>
            </wp:positionH>
            <wp:positionV relativeFrom="paragraph">
              <wp:posOffset>290830</wp:posOffset>
            </wp:positionV>
            <wp:extent cx="6142355" cy="4581525"/>
            <wp:effectExtent l="0" t="0" r="0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458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 w:rsidP="00B27CC6">
      <w:pPr>
        <w:rPr>
          <w:rFonts w:ascii="Arial" w:hAnsi="Arial" w:cs="Arial"/>
          <w:sz w:val="24"/>
        </w:rPr>
      </w:pPr>
    </w:p>
    <w:p w:rsidR="00A05A20" w:rsidRDefault="00A05A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A05A20" w:rsidRPr="00B27CC6" w:rsidRDefault="00A05A20" w:rsidP="00B27CC6">
      <w:pPr>
        <w:rPr>
          <w:rFonts w:ascii="Arial" w:hAnsi="Arial" w:cs="Arial"/>
          <w:sz w:val="24"/>
        </w:rPr>
      </w:pPr>
    </w:p>
    <w:p w:rsidR="00B27CC6" w:rsidRDefault="00945985" w:rsidP="00A05A20">
      <w:pPr>
        <w:pStyle w:val="Naslov1"/>
        <w:numPr>
          <w:ilvl w:val="0"/>
          <w:numId w:val="2"/>
        </w:numPr>
      </w:pPr>
      <w:bookmarkStart w:id="9" w:name="_Toc180679095"/>
      <w:r>
        <w:t>RASHODI I IZDACI</w:t>
      </w:r>
      <w:bookmarkEnd w:id="9"/>
    </w:p>
    <w:p w:rsidR="00945985" w:rsidRDefault="00945985" w:rsidP="00945985">
      <w:pPr>
        <w:rPr>
          <w:rFonts w:ascii="Arial" w:hAnsi="Arial" w:cs="Arial"/>
          <w:sz w:val="24"/>
        </w:rPr>
      </w:pPr>
    </w:p>
    <w:p w:rsidR="00945985" w:rsidRDefault="00945985" w:rsidP="00945985">
      <w:pPr>
        <w:spacing w:line="360" w:lineRule="auto"/>
        <w:ind w:left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Ukupni rashodi i izdaci predloženi financijskim planom za 202</w:t>
      </w:r>
      <w:r w:rsidR="0043086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godinu iznose </w:t>
      </w:r>
      <w:r w:rsidR="00430868">
        <w:rPr>
          <w:rFonts w:ascii="Arial" w:hAnsi="Arial" w:cs="Arial"/>
          <w:sz w:val="24"/>
        </w:rPr>
        <w:t>839.810,00</w:t>
      </w:r>
      <w:r w:rsidR="00C4127B">
        <w:rPr>
          <w:rFonts w:ascii="Arial" w:hAnsi="Arial" w:cs="Arial"/>
          <w:sz w:val="24"/>
        </w:rPr>
        <w:t xml:space="preserve"> eura, isto kao i u projekcijama za 202</w:t>
      </w:r>
      <w:r w:rsidR="00430868">
        <w:rPr>
          <w:rFonts w:ascii="Arial" w:hAnsi="Arial" w:cs="Arial"/>
          <w:sz w:val="24"/>
        </w:rPr>
        <w:t>7</w:t>
      </w:r>
      <w:r w:rsidR="00C4127B">
        <w:rPr>
          <w:rFonts w:ascii="Arial" w:hAnsi="Arial" w:cs="Arial"/>
          <w:sz w:val="24"/>
        </w:rPr>
        <w:t>. i 202</w:t>
      </w:r>
      <w:r w:rsidR="00430868">
        <w:rPr>
          <w:rFonts w:ascii="Arial" w:hAnsi="Arial" w:cs="Arial"/>
          <w:sz w:val="24"/>
        </w:rPr>
        <w:t>8</w:t>
      </w:r>
      <w:r w:rsidR="00C4127B">
        <w:rPr>
          <w:rFonts w:ascii="Arial" w:hAnsi="Arial" w:cs="Arial"/>
          <w:sz w:val="24"/>
        </w:rPr>
        <w:t>. godinu. U odnosu na rebalans 202</w:t>
      </w:r>
      <w:r w:rsidR="00430868">
        <w:rPr>
          <w:rFonts w:ascii="Arial" w:hAnsi="Arial" w:cs="Arial"/>
          <w:sz w:val="24"/>
        </w:rPr>
        <w:t>5</w:t>
      </w:r>
      <w:r w:rsidR="00C4127B">
        <w:rPr>
          <w:rFonts w:ascii="Arial" w:hAnsi="Arial" w:cs="Arial"/>
          <w:sz w:val="24"/>
        </w:rPr>
        <w:t xml:space="preserve">. godine ukupni rashodi novim planom uvećani su za </w:t>
      </w:r>
      <w:r w:rsidR="00430868">
        <w:rPr>
          <w:rFonts w:ascii="Arial" w:hAnsi="Arial" w:cs="Arial"/>
          <w:sz w:val="24"/>
        </w:rPr>
        <w:t>4,92</w:t>
      </w:r>
      <w:r w:rsidR="00C4127B">
        <w:rPr>
          <w:rFonts w:ascii="Arial" w:hAnsi="Arial" w:cs="Arial"/>
          <w:sz w:val="24"/>
        </w:rPr>
        <w:t xml:space="preserve">%. Tablicom ispod prikazani su rashodi i izdaci prema ekonomskoj klasifikaciji. </w:t>
      </w:r>
    </w:p>
    <w:p w:rsidR="00C4127B" w:rsidRDefault="00C4127B" w:rsidP="00945985">
      <w:pPr>
        <w:spacing w:line="360" w:lineRule="auto"/>
        <w:ind w:left="357"/>
        <w:jc w:val="both"/>
        <w:rPr>
          <w:rFonts w:ascii="Arial" w:hAnsi="Arial" w:cs="Arial"/>
          <w:sz w:val="24"/>
        </w:rPr>
      </w:pPr>
    </w:p>
    <w:p w:rsidR="00C4127B" w:rsidRDefault="00C4127B" w:rsidP="00945985">
      <w:pPr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C4127B">
        <w:rPr>
          <w:rFonts w:ascii="Arial" w:hAnsi="Arial" w:cs="Arial"/>
          <w:b/>
          <w:i/>
          <w:sz w:val="24"/>
        </w:rPr>
        <w:t>Tablica 3</w:t>
      </w:r>
      <w:r>
        <w:rPr>
          <w:rFonts w:ascii="Arial" w:hAnsi="Arial" w:cs="Arial"/>
          <w:sz w:val="24"/>
        </w:rPr>
        <w:t>. Rashodi i izdaci Financijskog plana za 202</w:t>
      </w:r>
      <w:r w:rsidR="0043086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godinu i projekcije za 202</w:t>
      </w:r>
      <w:r w:rsidR="00430868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i 202</w:t>
      </w:r>
      <w:r w:rsidR="0043086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. godinu </w:t>
      </w:r>
    </w:p>
    <w:p w:rsidR="00C4127B" w:rsidRPr="00C4127B" w:rsidRDefault="00430868" w:rsidP="00945985">
      <w:pPr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430868">
        <w:rPr>
          <w:noProof/>
        </w:rPr>
        <w:drawing>
          <wp:inline distT="0" distB="0" distL="0" distR="0">
            <wp:extent cx="5759447" cy="37623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76" cy="377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CC6" w:rsidRDefault="00B27CC6" w:rsidP="00B27CC6">
      <w:pPr>
        <w:rPr>
          <w:rFonts w:ascii="Arial" w:hAnsi="Arial" w:cs="Arial"/>
          <w:sz w:val="24"/>
        </w:rPr>
      </w:pPr>
    </w:p>
    <w:p w:rsidR="00C4127B" w:rsidRPr="00C4127B" w:rsidRDefault="00C4127B" w:rsidP="00C4127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nastavku </w:t>
      </w:r>
      <w:r w:rsidRPr="00C4127B">
        <w:rPr>
          <w:rFonts w:ascii="Arial" w:hAnsi="Arial" w:cs="Arial"/>
          <w:b/>
          <w:i/>
          <w:sz w:val="24"/>
        </w:rPr>
        <w:t>Grafikonom 3</w:t>
      </w:r>
      <w:r>
        <w:rPr>
          <w:rFonts w:ascii="Arial" w:hAnsi="Arial" w:cs="Arial"/>
          <w:sz w:val="24"/>
        </w:rPr>
        <w:t xml:space="preserve"> </w:t>
      </w:r>
      <w:r w:rsidR="00D43D5A">
        <w:rPr>
          <w:rFonts w:ascii="Arial" w:hAnsi="Arial" w:cs="Arial"/>
          <w:sz w:val="24"/>
        </w:rPr>
        <w:t>vidljivo je kako se najveći udio rashoda i izdataka odnosi na rashode za zaposlene (</w:t>
      </w:r>
      <w:r w:rsidR="00A775F6">
        <w:rPr>
          <w:rFonts w:ascii="Arial" w:hAnsi="Arial" w:cs="Arial"/>
          <w:sz w:val="24"/>
        </w:rPr>
        <w:t>80,94</w:t>
      </w:r>
      <w:r w:rsidR="00D43D5A">
        <w:rPr>
          <w:rFonts w:ascii="Arial" w:hAnsi="Arial" w:cs="Arial"/>
          <w:sz w:val="24"/>
        </w:rPr>
        <w:t>%), slijede materijalni rashodi (</w:t>
      </w:r>
      <w:r w:rsidR="00A775F6">
        <w:rPr>
          <w:rFonts w:ascii="Arial" w:hAnsi="Arial" w:cs="Arial"/>
          <w:sz w:val="24"/>
        </w:rPr>
        <w:t>16,72</w:t>
      </w:r>
      <w:r w:rsidR="00D43D5A">
        <w:rPr>
          <w:rFonts w:ascii="Arial" w:hAnsi="Arial" w:cs="Arial"/>
          <w:sz w:val="24"/>
        </w:rPr>
        <w:t>%)</w:t>
      </w:r>
      <w:r w:rsidR="00A775F6">
        <w:rPr>
          <w:rFonts w:ascii="Arial" w:hAnsi="Arial" w:cs="Arial"/>
          <w:sz w:val="24"/>
        </w:rPr>
        <w:t xml:space="preserve">, </w:t>
      </w:r>
      <w:r w:rsidR="00D43D5A">
        <w:rPr>
          <w:rFonts w:ascii="Arial" w:hAnsi="Arial" w:cs="Arial"/>
          <w:sz w:val="24"/>
        </w:rPr>
        <w:t>naknade građanima i kućanstvima na temelju osiguranja i druge naknade (0,</w:t>
      </w:r>
      <w:r w:rsidR="00A775F6">
        <w:rPr>
          <w:rFonts w:ascii="Arial" w:hAnsi="Arial" w:cs="Arial"/>
          <w:sz w:val="24"/>
        </w:rPr>
        <w:t>48</w:t>
      </w:r>
      <w:r w:rsidR="00D43D5A">
        <w:rPr>
          <w:rFonts w:ascii="Arial" w:hAnsi="Arial" w:cs="Arial"/>
          <w:sz w:val="24"/>
        </w:rPr>
        <w:t>%), rashodi za nabavu proizvedene dugotrajne imovine (</w:t>
      </w:r>
      <w:r w:rsidR="00A775F6">
        <w:rPr>
          <w:rFonts w:ascii="Arial" w:hAnsi="Arial" w:cs="Arial"/>
          <w:sz w:val="24"/>
        </w:rPr>
        <w:t>1,65</w:t>
      </w:r>
      <w:r w:rsidR="00D43D5A">
        <w:rPr>
          <w:rFonts w:ascii="Arial" w:hAnsi="Arial" w:cs="Arial"/>
          <w:sz w:val="24"/>
        </w:rPr>
        <w:t>%), financijski rashodi (0,0</w:t>
      </w:r>
      <w:r w:rsidR="00A775F6">
        <w:rPr>
          <w:rFonts w:ascii="Arial" w:hAnsi="Arial" w:cs="Arial"/>
          <w:sz w:val="24"/>
        </w:rPr>
        <w:t>8</w:t>
      </w:r>
      <w:r w:rsidR="00D43D5A">
        <w:rPr>
          <w:rFonts w:ascii="Arial" w:hAnsi="Arial" w:cs="Arial"/>
          <w:sz w:val="24"/>
        </w:rPr>
        <w:t>%), ostali rashodi (0,02%) te rashodi za dodatna ulaganja na nefinancijskoj imovini (0,</w:t>
      </w:r>
      <w:r w:rsidR="00A775F6">
        <w:rPr>
          <w:rFonts w:ascii="Arial" w:hAnsi="Arial" w:cs="Arial"/>
          <w:sz w:val="24"/>
        </w:rPr>
        <w:t>12</w:t>
      </w:r>
      <w:r w:rsidR="00D43D5A">
        <w:rPr>
          <w:rFonts w:ascii="Arial" w:hAnsi="Arial" w:cs="Arial"/>
          <w:sz w:val="24"/>
        </w:rPr>
        <w:t xml:space="preserve">%). </w:t>
      </w:r>
    </w:p>
    <w:p w:rsidR="00B27CC6" w:rsidRPr="00B27CC6" w:rsidRDefault="00A775F6" w:rsidP="00B27CC6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E157FA1" wp14:editId="637F0C25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5629275" cy="4171950"/>
            <wp:effectExtent l="0" t="0" r="9525" b="0"/>
            <wp:wrapTopAndBottom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id="{3D7B372F-D682-46C2-AFE5-95F4E1ABB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CC6" w:rsidRPr="00B27CC6" w:rsidRDefault="00B27CC6" w:rsidP="00B27CC6">
      <w:pPr>
        <w:rPr>
          <w:rFonts w:ascii="Arial" w:hAnsi="Arial" w:cs="Arial"/>
          <w:sz w:val="24"/>
        </w:rPr>
      </w:pPr>
    </w:p>
    <w:p w:rsidR="002F5EE9" w:rsidRDefault="002F5EE9" w:rsidP="00B27CC6">
      <w:pPr>
        <w:rPr>
          <w:rFonts w:ascii="Arial" w:hAnsi="Arial" w:cs="Arial"/>
          <w:sz w:val="24"/>
        </w:rPr>
      </w:pPr>
    </w:p>
    <w:p w:rsidR="00B27CC6" w:rsidRPr="00A05A20" w:rsidRDefault="002F5EE9" w:rsidP="00A05A20">
      <w:pPr>
        <w:pStyle w:val="Naslov2"/>
        <w:rPr>
          <w:b/>
          <w:i/>
        </w:rPr>
      </w:pPr>
      <w:bookmarkStart w:id="10" w:name="_Toc180679096"/>
      <w:r w:rsidRPr="00A05A20">
        <w:rPr>
          <w:b/>
          <w:i/>
        </w:rPr>
        <w:t>3.1 Rashodi poslovanja</w:t>
      </w:r>
      <w:bookmarkEnd w:id="10"/>
    </w:p>
    <w:p w:rsidR="002F5EE9" w:rsidRDefault="002F5EE9" w:rsidP="00B27CC6">
      <w:pPr>
        <w:rPr>
          <w:rFonts w:ascii="Arial" w:hAnsi="Arial" w:cs="Arial"/>
          <w:sz w:val="24"/>
        </w:rPr>
      </w:pPr>
    </w:p>
    <w:p w:rsidR="002F5EE9" w:rsidRDefault="002F5EE9" w:rsidP="001D3F8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D3F86">
        <w:rPr>
          <w:rFonts w:ascii="Arial" w:hAnsi="Arial" w:cs="Arial"/>
          <w:sz w:val="24"/>
        </w:rPr>
        <w:t>Ukupni rashodi poslovanja u 202</w:t>
      </w:r>
      <w:r w:rsidR="000B5B1F">
        <w:rPr>
          <w:rFonts w:ascii="Arial" w:hAnsi="Arial" w:cs="Arial"/>
          <w:sz w:val="24"/>
        </w:rPr>
        <w:t>6</w:t>
      </w:r>
      <w:r w:rsidR="001D3F86">
        <w:rPr>
          <w:rFonts w:ascii="Arial" w:hAnsi="Arial" w:cs="Arial"/>
          <w:sz w:val="24"/>
        </w:rPr>
        <w:t xml:space="preserve">. godini planirani su u iznosu od </w:t>
      </w:r>
      <w:r w:rsidR="000B5B1F">
        <w:rPr>
          <w:rFonts w:ascii="Arial" w:hAnsi="Arial" w:cs="Arial"/>
          <w:sz w:val="24"/>
        </w:rPr>
        <w:t>824.960,00</w:t>
      </w:r>
      <w:r w:rsidR="001D3F86">
        <w:rPr>
          <w:rFonts w:ascii="Arial" w:hAnsi="Arial" w:cs="Arial"/>
          <w:sz w:val="24"/>
        </w:rPr>
        <w:t xml:space="preserve"> eura što je za </w:t>
      </w:r>
      <w:r w:rsidR="000B5B1F">
        <w:rPr>
          <w:rFonts w:ascii="Arial" w:hAnsi="Arial" w:cs="Arial"/>
          <w:sz w:val="24"/>
        </w:rPr>
        <w:t>7,84</w:t>
      </w:r>
      <w:r w:rsidR="00643A96">
        <w:rPr>
          <w:rFonts w:ascii="Arial" w:hAnsi="Arial" w:cs="Arial"/>
          <w:sz w:val="24"/>
        </w:rPr>
        <w:t xml:space="preserve">% </w:t>
      </w:r>
      <w:r w:rsidR="000B5B1F">
        <w:rPr>
          <w:rFonts w:ascii="Arial" w:hAnsi="Arial" w:cs="Arial"/>
          <w:sz w:val="24"/>
        </w:rPr>
        <w:t xml:space="preserve">više </w:t>
      </w:r>
      <w:r w:rsidR="00643A96">
        <w:rPr>
          <w:rFonts w:ascii="Arial" w:hAnsi="Arial" w:cs="Arial"/>
          <w:sz w:val="24"/>
        </w:rPr>
        <w:t>u odnosu na rebalans 202</w:t>
      </w:r>
      <w:r w:rsidR="000B5B1F">
        <w:rPr>
          <w:rFonts w:ascii="Arial" w:hAnsi="Arial" w:cs="Arial"/>
          <w:sz w:val="24"/>
        </w:rPr>
        <w:t>5</w:t>
      </w:r>
      <w:r w:rsidR="00643A96">
        <w:rPr>
          <w:rFonts w:ascii="Arial" w:hAnsi="Arial" w:cs="Arial"/>
          <w:sz w:val="24"/>
        </w:rPr>
        <w:t xml:space="preserve">. godine. </w:t>
      </w:r>
      <w:r w:rsidR="000B5B1F">
        <w:rPr>
          <w:rFonts w:ascii="Arial" w:hAnsi="Arial" w:cs="Arial"/>
          <w:sz w:val="24"/>
        </w:rPr>
        <w:t xml:space="preserve">Planirani rashodi su veći zbog planiranog rasta bruto plaća u 2026. godini te rasta cijena energenata i materijala. </w:t>
      </w:r>
      <w:r w:rsidR="00643A96">
        <w:rPr>
          <w:rFonts w:ascii="Arial" w:hAnsi="Arial" w:cs="Arial"/>
          <w:sz w:val="24"/>
        </w:rPr>
        <w:t>Rashodi poslovanja sastoji se od rashoda za zaposlene, materijalnih rashoda, financijskih rashoda, naknada građanima i kućanstvima na temelju osiguranja i druge naknade te ostali rashodi.</w:t>
      </w:r>
    </w:p>
    <w:p w:rsidR="00A70039" w:rsidRDefault="00643A96" w:rsidP="001D3F8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43A96">
        <w:rPr>
          <w:rFonts w:ascii="Arial" w:hAnsi="Arial" w:cs="Arial"/>
          <w:b/>
          <w:i/>
          <w:sz w:val="24"/>
        </w:rPr>
        <w:t xml:space="preserve">Rashodi za zaposlene </w:t>
      </w:r>
      <w:r>
        <w:rPr>
          <w:rFonts w:ascii="Arial" w:hAnsi="Arial" w:cs="Arial"/>
          <w:sz w:val="24"/>
        </w:rPr>
        <w:t>u 202</w:t>
      </w:r>
      <w:r w:rsidR="000B5B1F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godini planirani su u iznosu od </w:t>
      </w:r>
      <w:r w:rsidR="000B5B1F">
        <w:rPr>
          <w:rFonts w:ascii="Arial" w:hAnsi="Arial" w:cs="Arial"/>
          <w:sz w:val="24"/>
        </w:rPr>
        <w:t>679.750</w:t>
      </w:r>
      <w:r>
        <w:rPr>
          <w:rFonts w:ascii="Arial" w:hAnsi="Arial" w:cs="Arial"/>
          <w:sz w:val="24"/>
        </w:rPr>
        <w:t>,00 eura što je u odnosu na 202</w:t>
      </w:r>
      <w:r w:rsidR="000B5B1F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povećanje za </w:t>
      </w:r>
      <w:r w:rsidR="000B5B1F">
        <w:rPr>
          <w:rFonts w:ascii="Arial" w:hAnsi="Arial" w:cs="Arial"/>
          <w:sz w:val="24"/>
        </w:rPr>
        <w:t>9,59</w:t>
      </w:r>
      <w:r>
        <w:rPr>
          <w:rFonts w:ascii="Arial" w:hAnsi="Arial" w:cs="Arial"/>
          <w:sz w:val="24"/>
        </w:rPr>
        <w:t xml:space="preserve">%. Do povećanje rashoda došlo je zbog </w:t>
      </w:r>
      <w:r w:rsidR="00A70039">
        <w:rPr>
          <w:rFonts w:ascii="Arial" w:hAnsi="Arial" w:cs="Arial"/>
          <w:sz w:val="24"/>
        </w:rPr>
        <w:t xml:space="preserve">planiranja </w:t>
      </w:r>
      <w:r>
        <w:rPr>
          <w:rFonts w:ascii="Arial" w:hAnsi="Arial" w:cs="Arial"/>
          <w:sz w:val="24"/>
        </w:rPr>
        <w:t xml:space="preserve">potreba zapošljavanja </w:t>
      </w:r>
      <w:r w:rsidR="000B5B1F">
        <w:rPr>
          <w:rFonts w:ascii="Arial" w:hAnsi="Arial" w:cs="Arial"/>
          <w:sz w:val="24"/>
        </w:rPr>
        <w:t xml:space="preserve">operativnog djelatnika </w:t>
      </w:r>
      <w:r>
        <w:rPr>
          <w:rFonts w:ascii="Arial" w:hAnsi="Arial" w:cs="Arial"/>
          <w:sz w:val="24"/>
        </w:rPr>
        <w:t>na puno radno</w:t>
      </w:r>
      <w:r w:rsidR="00A70039">
        <w:rPr>
          <w:rFonts w:ascii="Arial" w:hAnsi="Arial" w:cs="Arial"/>
          <w:sz w:val="24"/>
        </w:rPr>
        <w:t xml:space="preserve"> te zbog predviđenog rasta realne bruto plaće. </w:t>
      </w:r>
    </w:p>
    <w:p w:rsidR="00A70039" w:rsidRDefault="00A70039" w:rsidP="001D3F86">
      <w:pPr>
        <w:spacing w:line="360" w:lineRule="auto"/>
        <w:jc w:val="both"/>
        <w:rPr>
          <w:rFonts w:ascii="Arial" w:hAnsi="Arial" w:cs="Arial"/>
          <w:sz w:val="24"/>
        </w:rPr>
      </w:pPr>
    </w:p>
    <w:p w:rsidR="00643A96" w:rsidRDefault="00643A96" w:rsidP="001D3F8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Pr="00643A96">
        <w:rPr>
          <w:rFonts w:ascii="Arial" w:hAnsi="Arial" w:cs="Arial"/>
          <w:b/>
          <w:i/>
          <w:sz w:val="24"/>
        </w:rPr>
        <w:t xml:space="preserve">Materijalni rashodi </w:t>
      </w:r>
      <w:r>
        <w:rPr>
          <w:rFonts w:ascii="Arial" w:hAnsi="Arial" w:cs="Arial"/>
          <w:sz w:val="24"/>
        </w:rPr>
        <w:t>u 202</w:t>
      </w:r>
      <w:r w:rsidR="00A70039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godini planirani su u iznosu od </w:t>
      </w:r>
      <w:r w:rsidR="00A70039">
        <w:rPr>
          <w:rFonts w:ascii="Arial" w:hAnsi="Arial" w:cs="Arial"/>
          <w:sz w:val="24"/>
        </w:rPr>
        <w:t>140.380,00</w:t>
      </w:r>
      <w:r>
        <w:rPr>
          <w:rFonts w:ascii="Arial" w:hAnsi="Arial" w:cs="Arial"/>
          <w:sz w:val="24"/>
        </w:rPr>
        <w:t xml:space="preserve"> eura što je u odnosu na rebalans za 202</w:t>
      </w:r>
      <w:r w:rsidR="00A7003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smanjenje od </w:t>
      </w:r>
      <w:r w:rsidR="00A70039">
        <w:rPr>
          <w:rFonts w:ascii="Arial" w:hAnsi="Arial" w:cs="Arial"/>
          <w:sz w:val="24"/>
        </w:rPr>
        <w:t>0,36</w:t>
      </w:r>
      <w:r>
        <w:rPr>
          <w:rFonts w:ascii="Arial" w:hAnsi="Arial" w:cs="Arial"/>
          <w:sz w:val="24"/>
        </w:rPr>
        <w:t>%.</w:t>
      </w:r>
      <w:r w:rsidR="00572F94">
        <w:rPr>
          <w:rFonts w:ascii="Arial" w:hAnsi="Arial" w:cs="Arial"/>
          <w:sz w:val="24"/>
        </w:rPr>
        <w:t xml:space="preserve">  Od toga iz županijskog proračuna planirano je </w:t>
      </w:r>
      <w:r w:rsidR="00A70039">
        <w:rPr>
          <w:rFonts w:ascii="Arial" w:hAnsi="Arial" w:cs="Arial"/>
          <w:sz w:val="24"/>
        </w:rPr>
        <w:t>64.930,00</w:t>
      </w:r>
      <w:r w:rsidR="00572F94">
        <w:rPr>
          <w:rFonts w:ascii="Arial" w:hAnsi="Arial" w:cs="Arial"/>
          <w:sz w:val="24"/>
        </w:rPr>
        <w:t xml:space="preserve"> eura</w:t>
      </w:r>
      <w:r w:rsidR="00A70039">
        <w:rPr>
          <w:rFonts w:ascii="Arial" w:hAnsi="Arial" w:cs="Arial"/>
          <w:sz w:val="24"/>
        </w:rPr>
        <w:t xml:space="preserve"> za potrebe obavljanja redovne djelatnosti škole</w:t>
      </w:r>
      <w:r w:rsidR="00BE1452">
        <w:rPr>
          <w:rFonts w:ascii="Arial" w:hAnsi="Arial" w:cs="Arial"/>
          <w:sz w:val="24"/>
        </w:rPr>
        <w:t>, provođenja programa produženog boravka te realizaciju projekta Građanskog odgoja</w:t>
      </w:r>
      <w:r w:rsidR="00572F94">
        <w:rPr>
          <w:rFonts w:ascii="Arial" w:hAnsi="Arial" w:cs="Arial"/>
          <w:sz w:val="24"/>
        </w:rPr>
        <w:t xml:space="preserve">, a iz vlastitih izvora planirano je </w:t>
      </w:r>
      <w:r w:rsidR="00BE1452">
        <w:rPr>
          <w:rFonts w:ascii="Arial" w:hAnsi="Arial" w:cs="Arial"/>
          <w:sz w:val="24"/>
        </w:rPr>
        <w:t>75.450,00</w:t>
      </w:r>
      <w:r w:rsidR="00572F94">
        <w:rPr>
          <w:rFonts w:ascii="Arial" w:hAnsi="Arial" w:cs="Arial"/>
          <w:sz w:val="24"/>
        </w:rPr>
        <w:t xml:space="preserve"> eura. </w:t>
      </w:r>
    </w:p>
    <w:p w:rsidR="00572F94" w:rsidRDefault="00572F94" w:rsidP="001D3F8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572F94">
        <w:rPr>
          <w:rFonts w:ascii="Arial" w:hAnsi="Arial" w:cs="Arial"/>
          <w:b/>
          <w:i/>
          <w:sz w:val="24"/>
        </w:rPr>
        <w:t xml:space="preserve">Financijski rashodi </w:t>
      </w:r>
      <w:r>
        <w:rPr>
          <w:rFonts w:ascii="Arial" w:hAnsi="Arial" w:cs="Arial"/>
          <w:sz w:val="24"/>
        </w:rPr>
        <w:t>odnose se na rashode za financiranje bankarskih usluga i usluge platnog prometa. U planu za 202</w:t>
      </w:r>
      <w:r w:rsidR="00BE145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godinu, financijski rashodi planirani su u iznosu od 700,00 eura kao što je bilo planirano i u rebalansu za 202</w:t>
      </w:r>
      <w:r w:rsidR="00BE1452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 godinu.</w:t>
      </w:r>
    </w:p>
    <w:p w:rsidR="00572F94" w:rsidRDefault="00572F94" w:rsidP="001D3F8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572F94">
        <w:rPr>
          <w:rFonts w:ascii="Arial" w:hAnsi="Arial" w:cs="Arial"/>
          <w:b/>
          <w:i/>
          <w:sz w:val="24"/>
        </w:rPr>
        <w:t xml:space="preserve">Naknade građanima i kućanstvima na temelju osiguranja i druge naknade </w:t>
      </w:r>
      <w:r>
        <w:rPr>
          <w:rFonts w:ascii="Arial" w:hAnsi="Arial" w:cs="Arial"/>
          <w:sz w:val="24"/>
        </w:rPr>
        <w:t>odnose se na nabavu jednogodišnjih radnih udžbenika financiranih od strane Ministarstva znanosti, obrazovanja i mladih. U 202</w:t>
      </w:r>
      <w:r w:rsidR="00BE145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godini ovi rashodi planirani su u iznosu od </w:t>
      </w:r>
      <w:r w:rsidR="00BE1452">
        <w:rPr>
          <w:rFonts w:ascii="Arial" w:hAnsi="Arial" w:cs="Arial"/>
          <w:sz w:val="24"/>
        </w:rPr>
        <w:t>4.000,00</w:t>
      </w:r>
      <w:r>
        <w:rPr>
          <w:rFonts w:ascii="Arial" w:hAnsi="Arial" w:cs="Arial"/>
          <w:sz w:val="24"/>
        </w:rPr>
        <w:t xml:space="preserve"> eura što je </w:t>
      </w:r>
      <w:r w:rsidR="00BE1452">
        <w:rPr>
          <w:rFonts w:ascii="Arial" w:hAnsi="Arial" w:cs="Arial"/>
          <w:sz w:val="24"/>
        </w:rPr>
        <w:t>za 33,33</w:t>
      </w:r>
      <w:r>
        <w:rPr>
          <w:rFonts w:ascii="Arial" w:hAnsi="Arial" w:cs="Arial"/>
          <w:sz w:val="24"/>
        </w:rPr>
        <w:t>%</w:t>
      </w:r>
      <w:r w:rsidR="00A05A20">
        <w:rPr>
          <w:rFonts w:ascii="Arial" w:hAnsi="Arial" w:cs="Arial"/>
          <w:sz w:val="24"/>
        </w:rPr>
        <w:t xml:space="preserve"> </w:t>
      </w:r>
      <w:r w:rsidR="00BE1452">
        <w:rPr>
          <w:rFonts w:ascii="Arial" w:hAnsi="Arial" w:cs="Arial"/>
          <w:sz w:val="24"/>
        </w:rPr>
        <w:t xml:space="preserve">više </w:t>
      </w:r>
      <w:r w:rsidR="00A05A20">
        <w:rPr>
          <w:rFonts w:ascii="Arial" w:hAnsi="Arial" w:cs="Arial"/>
          <w:sz w:val="24"/>
        </w:rPr>
        <w:t>u odnosu na 202</w:t>
      </w:r>
      <w:r w:rsidR="00BE1452">
        <w:rPr>
          <w:rFonts w:ascii="Arial" w:hAnsi="Arial" w:cs="Arial"/>
          <w:sz w:val="24"/>
        </w:rPr>
        <w:t>5</w:t>
      </w:r>
      <w:r w:rsidR="00A05A20">
        <w:rPr>
          <w:rFonts w:ascii="Arial" w:hAnsi="Arial" w:cs="Arial"/>
          <w:sz w:val="24"/>
        </w:rPr>
        <w:t xml:space="preserve">. godinu. </w:t>
      </w:r>
      <w:r w:rsidR="00BE1452">
        <w:rPr>
          <w:rFonts w:ascii="Arial" w:hAnsi="Arial" w:cs="Arial"/>
          <w:sz w:val="24"/>
        </w:rPr>
        <w:t xml:space="preserve">Planirani rashodi su veći zbog planiranog većeg broja upisanih učenika u prvi razred. </w:t>
      </w:r>
    </w:p>
    <w:p w:rsidR="00A05A20" w:rsidRDefault="00A05A20" w:rsidP="001D3F8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05A20">
        <w:rPr>
          <w:rFonts w:ascii="Arial" w:hAnsi="Arial" w:cs="Arial"/>
          <w:b/>
          <w:i/>
          <w:sz w:val="24"/>
        </w:rPr>
        <w:t xml:space="preserve">Ostali rashodi </w:t>
      </w:r>
      <w:r>
        <w:rPr>
          <w:rFonts w:ascii="Arial" w:hAnsi="Arial" w:cs="Arial"/>
          <w:sz w:val="24"/>
        </w:rPr>
        <w:t>odnose se na rashode za nabavu potrebnih higijenskih menstrualni</w:t>
      </w:r>
      <w:r w:rsidR="00730F23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 xml:space="preserve"> potrepština učenicama financiranih od strane Ministarstva. U 202</w:t>
      </w:r>
      <w:r w:rsidR="00BE145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godini ovi rashodi planirani su iznosu </w:t>
      </w:r>
      <w:r w:rsidR="00BE1452">
        <w:rPr>
          <w:rFonts w:ascii="Arial" w:hAnsi="Arial" w:cs="Arial"/>
          <w:sz w:val="24"/>
        </w:rPr>
        <w:t>130,00</w:t>
      </w:r>
      <w:r>
        <w:rPr>
          <w:rFonts w:ascii="Arial" w:hAnsi="Arial" w:cs="Arial"/>
          <w:sz w:val="24"/>
        </w:rPr>
        <w:t xml:space="preserve"> eura. U odnosu na 202</w:t>
      </w:r>
      <w:r w:rsidR="00BE1452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ovi rashodi planirani su u istom iznosu. </w:t>
      </w:r>
    </w:p>
    <w:p w:rsidR="00A05A20" w:rsidRDefault="00A05A20" w:rsidP="001D3F86">
      <w:pPr>
        <w:spacing w:line="360" w:lineRule="auto"/>
        <w:jc w:val="both"/>
        <w:rPr>
          <w:rFonts w:ascii="Arial" w:hAnsi="Arial" w:cs="Arial"/>
          <w:sz w:val="24"/>
        </w:rPr>
      </w:pPr>
    </w:p>
    <w:p w:rsidR="00A05A20" w:rsidRPr="00A05A20" w:rsidRDefault="00A05A20" w:rsidP="00A05A20">
      <w:pPr>
        <w:pStyle w:val="Naslov2"/>
        <w:rPr>
          <w:b/>
          <w:i/>
        </w:rPr>
      </w:pPr>
      <w:bookmarkStart w:id="11" w:name="_Toc180679097"/>
      <w:r w:rsidRPr="00A05A20">
        <w:rPr>
          <w:b/>
          <w:i/>
        </w:rPr>
        <w:t>3.2 Rashodi za nabavu nefinancijske imovine</w:t>
      </w:r>
      <w:bookmarkEnd w:id="11"/>
    </w:p>
    <w:p w:rsidR="00A05A20" w:rsidRDefault="00A05A20" w:rsidP="001D3F86">
      <w:pPr>
        <w:spacing w:line="360" w:lineRule="auto"/>
        <w:jc w:val="both"/>
        <w:rPr>
          <w:rFonts w:ascii="Arial" w:hAnsi="Arial" w:cs="Arial"/>
          <w:sz w:val="24"/>
        </w:rPr>
      </w:pPr>
    </w:p>
    <w:p w:rsidR="002F5EE9" w:rsidRDefault="00A05A20" w:rsidP="00BE145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Rashodi za nabavu nefinancijske imovine planirani su u 202</w:t>
      </w:r>
      <w:r w:rsidR="00BE145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godini u iznosu od </w:t>
      </w:r>
      <w:r w:rsidR="00BE1452">
        <w:rPr>
          <w:rFonts w:ascii="Arial" w:hAnsi="Arial" w:cs="Arial"/>
          <w:sz w:val="24"/>
        </w:rPr>
        <w:t>14.850,00</w:t>
      </w:r>
      <w:r>
        <w:rPr>
          <w:rFonts w:ascii="Arial" w:hAnsi="Arial" w:cs="Arial"/>
          <w:sz w:val="24"/>
        </w:rPr>
        <w:t xml:space="preserve"> eura</w:t>
      </w:r>
      <w:r w:rsidR="00BE1452">
        <w:rPr>
          <w:rFonts w:ascii="Arial" w:hAnsi="Arial" w:cs="Arial"/>
          <w:sz w:val="24"/>
        </w:rPr>
        <w:t>. Rashodi za nabavu proizvedene dugotrajne imovine planirani su u iznosu od 13.850,00 eura, a rashodi za dodatna ulaganja na nefinancijskoj imovini u iznosu od 1.000,00 eura. U odnosu na rebalans 2025. godine ovi rashodi su manji za 58,09%.</w:t>
      </w:r>
      <w:r>
        <w:rPr>
          <w:rFonts w:ascii="Arial" w:hAnsi="Arial" w:cs="Arial"/>
          <w:sz w:val="24"/>
        </w:rPr>
        <w:t xml:space="preserve"> </w:t>
      </w:r>
      <w:r w:rsidR="00BE1452" w:rsidRPr="00BE1452">
        <w:rPr>
          <w:rFonts w:ascii="Arial" w:hAnsi="Arial" w:cs="Arial"/>
          <w:sz w:val="24"/>
        </w:rPr>
        <w:t>Planirani rashodi su manji jer je tijekom 2025. godine, sukladno zaključcima, izvršena nabava računala i računalne opreme za opremanje informatičke učionice te je provedena rekonstrukcija ulaznih vrata u skladu s Planom sigurnosti škole.</w:t>
      </w:r>
    </w:p>
    <w:p w:rsidR="002F5EE9" w:rsidRPr="00B27CC6" w:rsidRDefault="002F5EE9" w:rsidP="00B27CC6">
      <w:pPr>
        <w:rPr>
          <w:rFonts w:ascii="Arial" w:hAnsi="Arial" w:cs="Arial"/>
          <w:sz w:val="24"/>
        </w:rPr>
      </w:pPr>
    </w:p>
    <w:p w:rsidR="00B27CC6" w:rsidRPr="00B27CC6" w:rsidRDefault="00B27CC6" w:rsidP="00B27CC6">
      <w:pPr>
        <w:rPr>
          <w:rFonts w:ascii="Arial" w:hAnsi="Arial" w:cs="Arial"/>
          <w:sz w:val="24"/>
        </w:rPr>
      </w:pPr>
    </w:p>
    <w:p w:rsidR="00B27CC6" w:rsidRPr="00B27CC6" w:rsidRDefault="00B27CC6" w:rsidP="00B27CC6">
      <w:pPr>
        <w:rPr>
          <w:rFonts w:ascii="Arial" w:hAnsi="Arial" w:cs="Arial"/>
          <w:sz w:val="24"/>
        </w:rPr>
      </w:pPr>
    </w:p>
    <w:p w:rsidR="00241FF3" w:rsidRPr="00B27CC6" w:rsidRDefault="00241FF3" w:rsidP="00B27CC6">
      <w:pPr>
        <w:rPr>
          <w:rFonts w:ascii="Arial" w:hAnsi="Arial" w:cs="Arial"/>
          <w:sz w:val="24"/>
        </w:rPr>
      </w:pPr>
    </w:p>
    <w:sectPr w:rsidR="00241FF3" w:rsidRPr="00B27CC6" w:rsidSect="00F75104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2AB" w:rsidRDefault="009A12AB" w:rsidP="00F75104">
      <w:pPr>
        <w:spacing w:after="0" w:line="240" w:lineRule="auto"/>
      </w:pPr>
      <w:r>
        <w:separator/>
      </w:r>
    </w:p>
  </w:endnote>
  <w:endnote w:type="continuationSeparator" w:id="0">
    <w:p w:rsidR="009A12AB" w:rsidRDefault="009A12AB" w:rsidP="00F7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239095"/>
      <w:docPartObj>
        <w:docPartGallery w:val="Page Numbers (Bottom of Page)"/>
        <w:docPartUnique/>
      </w:docPartObj>
    </w:sdtPr>
    <w:sdtEndPr/>
    <w:sdtContent>
      <w:p w:rsidR="00F75104" w:rsidRDefault="00F7510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5104" w:rsidRDefault="00F751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2AB" w:rsidRDefault="009A12AB" w:rsidP="00F75104">
      <w:pPr>
        <w:spacing w:after="0" w:line="240" w:lineRule="auto"/>
      </w:pPr>
      <w:r>
        <w:separator/>
      </w:r>
    </w:p>
  </w:footnote>
  <w:footnote w:type="continuationSeparator" w:id="0">
    <w:p w:rsidR="009A12AB" w:rsidRDefault="009A12AB" w:rsidP="00F75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34938"/>
    <w:multiLevelType w:val="multilevel"/>
    <w:tmpl w:val="E1865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8C05E1"/>
    <w:multiLevelType w:val="hybridMultilevel"/>
    <w:tmpl w:val="E1760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69"/>
    <w:rsid w:val="00037169"/>
    <w:rsid w:val="00075F1F"/>
    <w:rsid w:val="000B5B1F"/>
    <w:rsid w:val="00140EF9"/>
    <w:rsid w:val="00191239"/>
    <w:rsid w:val="001D3F86"/>
    <w:rsid w:val="001F05D0"/>
    <w:rsid w:val="001F64CC"/>
    <w:rsid w:val="002350A3"/>
    <w:rsid w:val="00241FF3"/>
    <w:rsid w:val="00287D3B"/>
    <w:rsid w:val="002B16CF"/>
    <w:rsid w:val="002C5246"/>
    <w:rsid w:val="002F5EE9"/>
    <w:rsid w:val="004072BB"/>
    <w:rsid w:val="00430868"/>
    <w:rsid w:val="00492786"/>
    <w:rsid w:val="004A2A9A"/>
    <w:rsid w:val="00533E33"/>
    <w:rsid w:val="00572F94"/>
    <w:rsid w:val="005B3417"/>
    <w:rsid w:val="0062298D"/>
    <w:rsid w:val="00640EF1"/>
    <w:rsid w:val="00643A96"/>
    <w:rsid w:val="00701997"/>
    <w:rsid w:val="00730F23"/>
    <w:rsid w:val="0081265C"/>
    <w:rsid w:val="008462D6"/>
    <w:rsid w:val="00874A4E"/>
    <w:rsid w:val="008C2BCB"/>
    <w:rsid w:val="00916744"/>
    <w:rsid w:val="009210E3"/>
    <w:rsid w:val="00945985"/>
    <w:rsid w:val="00986C10"/>
    <w:rsid w:val="00990702"/>
    <w:rsid w:val="009A12AB"/>
    <w:rsid w:val="00A05A20"/>
    <w:rsid w:val="00A2588C"/>
    <w:rsid w:val="00A70039"/>
    <w:rsid w:val="00A775F6"/>
    <w:rsid w:val="00AC04F3"/>
    <w:rsid w:val="00AF0A7C"/>
    <w:rsid w:val="00B27CC6"/>
    <w:rsid w:val="00BE1452"/>
    <w:rsid w:val="00C34DF0"/>
    <w:rsid w:val="00C40195"/>
    <w:rsid w:val="00C4127B"/>
    <w:rsid w:val="00C657D5"/>
    <w:rsid w:val="00CC357C"/>
    <w:rsid w:val="00D43D5A"/>
    <w:rsid w:val="00DC35A1"/>
    <w:rsid w:val="00E55453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671C-1DDD-4DF2-B11C-0EFD5C9B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7169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27CC6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16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37169"/>
    <w:rPr>
      <w:rFonts w:ascii="Arial" w:eastAsiaTheme="majorEastAsia" w:hAnsi="Arial" w:cstheme="majorBidi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27CC6"/>
    <w:rPr>
      <w:rFonts w:ascii="Arial" w:eastAsiaTheme="majorEastAsia" w:hAnsi="Arial" w:cstheme="majorBidi"/>
      <w:sz w:val="28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F7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104"/>
  </w:style>
  <w:style w:type="paragraph" w:styleId="Podnoje">
    <w:name w:val="footer"/>
    <w:basedOn w:val="Normal"/>
    <w:link w:val="PodnojeChar"/>
    <w:uiPriority w:val="99"/>
    <w:unhideWhenUsed/>
    <w:rsid w:val="00F7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104"/>
  </w:style>
  <w:style w:type="paragraph" w:styleId="TOCNaslov">
    <w:name w:val="TOC Heading"/>
    <w:basedOn w:val="Naslov1"/>
    <w:next w:val="Normal"/>
    <w:uiPriority w:val="39"/>
    <w:unhideWhenUsed/>
    <w:qFormat/>
    <w:rsid w:val="00F75104"/>
    <w:pPr>
      <w:outlineLvl w:val="9"/>
    </w:pPr>
    <w:rPr>
      <w:rFonts w:asciiTheme="majorHAnsi" w:hAnsiTheme="majorHAnsi"/>
      <w:color w:val="2F5496" w:themeColor="accent1" w:themeShade="BF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7510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F75104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F7510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G:\Financijski%20plan%202026-2028\pomo&#263;ne%20tabl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i="1" cap="none" baseline="0"/>
              <a:t>Grafikon 3.</a:t>
            </a:r>
            <a:r>
              <a:rPr lang="hr-HR" cap="none" baseline="0"/>
              <a:t> </a:t>
            </a:r>
            <a:r>
              <a:rPr lang="hr-HR" b="0" cap="none" baseline="0"/>
              <a:t>Rashodi i izdaci financijskog plana škole za 2026. godinu prema ekonomskoj klasifikaciji</a:t>
            </a:r>
          </a:p>
        </c:rich>
      </c:tx>
      <c:layout>
        <c:manualLayout>
          <c:xMode val="edge"/>
          <c:yMode val="edge"/>
          <c:x val="0.13832257797339384"/>
          <c:y val="0.85680825957925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699402732138813E-2"/>
          <c:y val="0.1995559135731147"/>
          <c:w val="0.82880591894517119"/>
          <c:h val="0.74019203664074651"/>
        </c:manualLayout>
      </c:layout>
      <c:pie3DChart>
        <c:varyColors val="1"/>
        <c:ser>
          <c:idx val="0"/>
          <c:order val="0"/>
          <c:explosion val="2"/>
          <c:dPt>
            <c:idx val="0"/>
            <c:bubble3D val="0"/>
            <c:explosion val="1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3DA-42F7-ACFC-43EABFD4A7EC}"/>
              </c:ext>
            </c:extLst>
          </c:dPt>
          <c:dPt>
            <c:idx val="1"/>
            <c:bubble3D val="0"/>
            <c:explosion val="16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3DA-42F7-ACFC-43EABFD4A7E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3DA-42F7-ACFC-43EABFD4A7E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43DA-42F7-ACFC-43EABFD4A7EC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43DA-42F7-ACFC-43EABFD4A7EC}"/>
              </c:ext>
            </c:extLst>
          </c:dPt>
          <c:dPt>
            <c:idx val="5"/>
            <c:bubble3D val="0"/>
            <c:explosion val="17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43DA-42F7-ACFC-43EABFD4A7EC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43DA-42F7-ACFC-43EABFD4A7EC}"/>
              </c:ext>
            </c:extLst>
          </c:dPt>
          <c:dLbls>
            <c:dLbl>
              <c:idx val="0"/>
              <c:layout>
                <c:manualLayout>
                  <c:x val="3.6979975165503991E-2"/>
                  <c:y val="-7.52350849570640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DA-42F7-ACFC-43EABFD4A7EC}"/>
                </c:ext>
              </c:extLst>
            </c:dLbl>
            <c:dLbl>
              <c:idx val="1"/>
              <c:layout>
                <c:manualLayout>
                  <c:x val="-0.10288713910761155"/>
                  <c:y val="7.17617266572099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DA-42F7-ACFC-43EABFD4A7EC}"/>
                </c:ext>
              </c:extLst>
            </c:dLbl>
            <c:dLbl>
              <c:idx val="2"/>
              <c:layout>
                <c:manualLayout>
                  <c:x val="-4.1994750656167978E-2"/>
                  <c:y val="-8.61140719886519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DA-42F7-ACFC-43EABFD4A7EC}"/>
                </c:ext>
              </c:extLst>
            </c:dLbl>
            <c:dLbl>
              <c:idx val="3"/>
              <c:layout>
                <c:manualLayout>
                  <c:x val="-0.24566929133858267"/>
                  <c:y val="-2.58342215965955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DA-42F7-ACFC-43EABFD4A7EC}"/>
                </c:ext>
              </c:extLst>
            </c:dLbl>
            <c:dLbl>
              <c:idx val="4"/>
              <c:layout>
                <c:manualLayout>
                  <c:x val="0"/>
                  <c:y val="-0.186580489308745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DA-42F7-ACFC-43EABFD4A7EC}"/>
                </c:ext>
              </c:extLst>
            </c:dLbl>
            <c:dLbl>
              <c:idx val="5"/>
              <c:layout>
                <c:manualLayout>
                  <c:x val="0.14908136482939632"/>
                  <c:y val="-4.87979741269027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DA-42F7-ACFC-43EABFD4A7EC}"/>
                </c:ext>
              </c:extLst>
            </c:dLbl>
            <c:dLbl>
              <c:idx val="6"/>
              <c:layout>
                <c:manualLayout>
                  <c:x val="0.2855643044619422"/>
                  <c:y val="8.611407198865193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3DA-42F7-ACFC-43EABFD4A7E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List2!$A$16:$A$22</c:f>
              <c:strCache>
                <c:ptCount val="7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građanima i kućanstvima na temelju osiguranja i druge naknade</c:v>
                </c:pt>
                <c:pt idx="4">
                  <c:v>38 Ostali rashodi</c:v>
                </c:pt>
                <c:pt idx="5">
                  <c:v>42 Rashodi za nabavu proizvedene dugotrajne imovine</c:v>
                </c:pt>
                <c:pt idx="6">
                  <c:v>45 Rashodi za dodatna ulaganja na nefinancijskoj imovini</c:v>
                </c:pt>
              </c:strCache>
            </c:strRef>
          </c:cat>
          <c:val>
            <c:numRef>
              <c:f>List2!$C$16:$C$22</c:f>
              <c:numCache>
                <c:formatCode>0.00%</c:formatCode>
                <c:ptCount val="7"/>
                <c:pt idx="0">
                  <c:v>0.80940927114466366</c:v>
                </c:pt>
                <c:pt idx="1">
                  <c:v>0.16715685690811016</c:v>
                </c:pt>
                <c:pt idx="2">
                  <c:v>8.3352186804158083E-4</c:v>
                </c:pt>
                <c:pt idx="3">
                  <c:v>4.7629821030947478E-3</c:v>
                </c:pt>
                <c:pt idx="4">
                  <c:v>1.547969183505793E-4</c:v>
                </c:pt>
                <c:pt idx="5">
                  <c:v>1.6491825531965564E-2</c:v>
                </c:pt>
                <c:pt idx="6">
                  <c:v>1.190745525773687E-3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3DA-42F7-ACFC-43EABFD4A7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640B-0245-4C67-9013-37D04F19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12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2025-10-23T08:59:00Z</cp:lastPrinted>
  <dcterms:created xsi:type="dcterms:W3CDTF">2024-10-24T09:15:00Z</dcterms:created>
  <dcterms:modified xsi:type="dcterms:W3CDTF">2025-12-23T13:03:00Z</dcterms:modified>
</cp:coreProperties>
</file>