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FF19F7">
        <w:tblPrEx>
          <w:tblCellMar>
            <w:top w:w="0" w:type="dxa"/>
            <w:bottom w:w="0" w:type="dxa"/>
          </w:tblCellMar>
        </w:tblPrEx>
        <w:trPr>
          <w:tblCellSpacing w:w="60" w:type="dxa"/>
        </w:trPr>
        <w:tc>
          <w:tcPr>
            <w:tcW w:w="1200" w:type="pct"/>
            <w:shd w:val="clear" w:color="auto" w:fill="E7F0F9"/>
          </w:tcPr>
          <w:p w:rsidR="00FF19F7" w:rsidRDefault="00B04BC2">
            <w:pPr>
              <w:spacing w:after="0" w:line="240" w:lineRule="auto"/>
            </w:pPr>
            <w:r>
              <w:rPr>
                <w:b/>
              </w:rPr>
              <w:t>RKP broj</w:t>
            </w:r>
          </w:p>
        </w:tc>
        <w:tc>
          <w:tcPr>
            <w:tcW w:w="0" w:type="auto"/>
            <w:shd w:val="clear" w:color="auto" w:fill="E7F0F9"/>
          </w:tcPr>
          <w:p w:rsidR="00FF19F7" w:rsidRDefault="00B04BC2">
            <w:pPr>
              <w:spacing w:after="0" w:line="240" w:lineRule="auto"/>
            </w:pPr>
            <w:r>
              <w:t>14023</w:t>
            </w:r>
          </w:p>
        </w:tc>
      </w:tr>
      <w:tr w:rsidR="00FF19F7">
        <w:tblPrEx>
          <w:tblCellMar>
            <w:top w:w="0" w:type="dxa"/>
            <w:bottom w:w="0" w:type="dxa"/>
          </w:tblCellMar>
        </w:tblPrEx>
        <w:trPr>
          <w:tblCellSpacing w:w="60" w:type="dxa"/>
        </w:trPr>
        <w:tc>
          <w:tcPr>
            <w:tcW w:w="1200" w:type="pct"/>
            <w:shd w:val="clear" w:color="auto" w:fill="E7F0F9"/>
          </w:tcPr>
          <w:p w:rsidR="00FF19F7" w:rsidRDefault="00B04BC2">
            <w:pPr>
              <w:spacing w:after="0" w:line="240" w:lineRule="auto"/>
            </w:pPr>
            <w:r>
              <w:rPr>
                <w:b/>
              </w:rPr>
              <w:t>Naziv obveznika</w:t>
            </w:r>
          </w:p>
        </w:tc>
        <w:tc>
          <w:tcPr>
            <w:tcW w:w="0" w:type="auto"/>
            <w:shd w:val="clear" w:color="auto" w:fill="E7F0F9"/>
          </w:tcPr>
          <w:p w:rsidR="00FF19F7" w:rsidRDefault="00B04BC2">
            <w:pPr>
              <w:spacing w:after="0" w:line="240" w:lineRule="auto"/>
            </w:pPr>
            <w:r>
              <w:t>OSNOVNA ŠKOLA  BELETINEC</w:t>
            </w:r>
          </w:p>
        </w:tc>
      </w:tr>
      <w:tr w:rsidR="00FF19F7">
        <w:tblPrEx>
          <w:tblCellMar>
            <w:top w:w="0" w:type="dxa"/>
            <w:bottom w:w="0" w:type="dxa"/>
          </w:tblCellMar>
        </w:tblPrEx>
        <w:trPr>
          <w:tblCellSpacing w:w="60" w:type="dxa"/>
        </w:trPr>
        <w:tc>
          <w:tcPr>
            <w:tcW w:w="1200" w:type="pct"/>
            <w:shd w:val="clear" w:color="auto" w:fill="E7F0F9"/>
          </w:tcPr>
          <w:p w:rsidR="00FF19F7" w:rsidRDefault="00B04BC2">
            <w:pPr>
              <w:spacing w:after="0" w:line="240" w:lineRule="auto"/>
            </w:pPr>
            <w:r>
              <w:rPr>
                <w:b/>
              </w:rPr>
              <w:t>Razina</w:t>
            </w:r>
          </w:p>
        </w:tc>
        <w:tc>
          <w:tcPr>
            <w:tcW w:w="0" w:type="auto"/>
            <w:shd w:val="clear" w:color="auto" w:fill="E7F0F9"/>
          </w:tcPr>
          <w:p w:rsidR="00FF19F7" w:rsidRDefault="00B04BC2">
            <w:pPr>
              <w:spacing w:after="0" w:line="240" w:lineRule="auto"/>
            </w:pPr>
            <w:r>
              <w:t>31</w:t>
            </w:r>
          </w:p>
        </w:tc>
      </w:tr>
    </w:tbl>
    <w:p w:rsidR="00FF19F7" w:rsidRDefault="00B04BC2">
      <w:r>
        <w:br/>
      </w:r>
    </w:p>
    <w:p w:rsidR="00FF19F7" w:rsidRDefault="00B04BC2">
      <w:pPr>
        <w:spacing w:line="240" w:lineRule="auto"/>
        <w:jc w:val="center"/>
      </w:pPr>
      <w:r>
        <w:rPr>
          <w:b/>
          <w:sz w:val="28"/>
        </w:rPr>
        <w:t>BILJEŠKE UZ FINANCIJSKE IZVJEŠTAJE</w:t>
      </w:r>
    </w:p>
    <w:p w:rsidR="00FF19F7" w:rsidRDefault="00B04BC2">
      <w:pPr>
        <w:spacing w:line="240" w:lineRule="auto"/>
        <w:jc w:val="center"/>
      </w:pPr>
      <w:r>
        <w:rPr>
          <w:b/>
          <w:sz w:val="28"/>
        </w:rPr>
        <w:t>ZA RAZDOBLJE</w:t>
      </w:r>
    </w:p>
    <w:p w:rsidR="00FF19F7" w:rsidRDefault="00B04BC2">
      <w:pPr>
        <w:spacing w:line="240" w:lineRule="auto"/>
        <w:jc w:val="center"/>
      </w:pPr>
      <w:r>
        <w:rPr>
          <w:b/>
          <w:sz w:val="28"/>
        </w:rPr>
        <w:t>I - XII 2025.</w:t>
      </w:r>
    </w:p>
    <w:p w:rsidR="00FF19F7" w:rsidRDefault="00FF19F7"/>
    <w:p w:rsidR="00FF19F7" w:rsidRDefault="00B04BC2">
      <w:pPr>
        <w:keepNext/>
        <w:spacing w:line="240" w:lineRule="auto"/>
        <w:jc w:val="center"/>
      </w:pPr>
      <w:r>
        <w:rPr>
          <w:b/>
          <w:sz w:val="28"/>
        </w:rPr>
        <w:t>Izvještaj o prihodima i rashodima, primicima i izdacima</w:t>
      </w:r>
    </w:p>
    <w:p w:rsidR="00FF19F7" w:rsidRDefault="00B04BC2">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6</w:t>
            </w:r>
          </w:p>
        </w:tc>
        <w:tc>
          <w:tcPr>
            <w:tcW w:w="3180" w:type="dxa"/>
            <w:tcMar>
              <w:top w:w="0" w:type="dxa"/>
              <w:bottom w:w="0" w:type="dxa"/>
            </w:tcMar>
            <w:vAlign w:val="center"/>
          </w:tcPr>
          <w:p w:rsidR="00FF19F7" w:rsidRDefault="00B04BC2">
            <w:pPr>
              <w:keepNext/>
              <w:keepLines/>
              <w:spacing w:after="0" w:line="240" w:lineRule="auto"/>
            </w:pPr>
            <w:r>
              <w:rPr>
                <w:sz w:val="18"/>
              </w:rPr>
              <w:t>PRIHODI POSLOVANJA (šifre 61+62+63+64+65+66+67+68)</w:t>
            </w:r>
          </w:p>
        </w:tc>
        <w:tc>
          <w:tcPr>
            <w:tcW w:w="700" w:type="dxa"/>
            <w:tcMar>
              <w:top w:w="0" w:type="dxa"/>
              <w:bottom w:w="0" w:type="dxa"/>
            </w:tcMar>
            <w:vAlign w:val="center"/>
          </w:tcPr>
          <w:p w:rsidR="00FF19F7" w:rsidRDefault="00B04BC2">
            <w:pPr>
              <w:keepNext/>
              <w:keepLines/>
              <w:spacing w:after="0" w:line="240" w:lineRule="auto"/>
            </w:pPr>
            <w:r>
              <w:rPr>
                <w:sz w:val="18"/>
              </w:rPr>
              <w:t>6</w:t>
            </w:r>
          </w:p>
        </w:tc>
        <w:tc>
          <w:tcPr>
            <w:tcW w:w="1860" w:type="dxa"/>
            <w:tcMar>
              <w:top w:w="0" w:type="dxa"/>
              <w:bottom w:w="0" w:type="dxa"/>
            </w:tcMar>
            <w:vAlign w:val="center"/>
          </w:tcPr>
          <w:p w:rsidR="00FF19F7" w:rsidRDefault="00B04BC2">
            <w:pPr>
              <w:keepNext/>
              <w:keepLines/>
              <w:spacing w:after="0" w:line="240" w:lineRule="auto"/>
              <w:jc w:val="right"/>
            </w:pPr>
            <w:r>
              <w:rPr>
                <w:sz w:val="18"/>
              </w:rPr>
              <w:t>732.821,38</w:t>
            </w:r>
          </w:p>
        </w:tc>
        <w:tc>
          <w:tcPr>
            <w:tcW w:w="1860" w:type="dxa"/>
            <w:tcMar>
              <w:top w:w="0" w:type="dxa"/>
              <w:bottom w:w="0" w:type="dxa"/>
            </w:tcMar>
            <w:vAlign w:val="center"/>
          </w:tcPr>
          <w:p w:rsidR="00FF19F7" w:rsidRDefault="00B04BC2">
            <w:pPr>
              <w:keepNext/>
              <w:keepLines/>
              <w:spacing w:after="0" w:line="240" w:lineRule="auto"/>
              <w:jc w:val="right"/>
            </w:pPr>
            <w:r>
              <w:rPr>
                <w:sz w:val="18"/>
              </w:rPr>
              <w:t>854.703,88</w:t>
            </w:r>
          </w:p>
        </w:tc>
        <w:tc>
          <w:tcPr>
            <w:tcW w:w="700" w:type="dxa"/>
            <w:tcMar>
              <w:top w:w="0" w:type="dxa"/>
              <w:bottom w:w="0" w:type="dxa"/>
            </w:tcMar>
            <w:vAlign w:val="center"/>
          </w:tcPr>
          <w:p w:rsidR="00FF19F7" w:rsidRDefault="00B04BC2">
            <w:pPr>
              <w:keepNext/>
              <w:keepLines/>
              <w:spacing w:after="0" w:line="240" w:lineRule="auto"/>
              <w:jc w:val="right"/>
            </w:pPr>
            <w:r>
              <w:rPr>
                <w:sz w:val="18"/>
              </w:rPr>
              <w:t>116,6</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3</w:t>
            </w:r>
          </w:p>
        </w:tc>
        <w:tc>
          <w:tcPr>
            <w:tcW w:w="3180" w:type="dxa"/>
            <w:tcMar>
              <w:top w:w="0" w:type="dxa"/>
              <w:bottom w:w="0" w:type="dxa"/>
            </w:tcMar>
            <w:vAlign w:val="center"/>
          </w:tcPr>
          <w:p w:rsidR="00FF19F7" w:rsidRDefault="00B04BC2">
            <w:pPr>
              <w:keepNext/>
              <w:keepLines/>
              <w:spacing w:after="0" w:line="240" w:lineRule="auto"/>
            </w:pPr>
            <w:r>
              <w:rPr>
                <w:sz w:val="18"/>
              </w:rPr>
              <w:t>RASHODI POSLOVANJA (šifre 31+32+34+35+36+37+38)</w:t>
            </w:r>
          </w:p>
        </w:tc>
        <w:tc>
          <w:tcPr>
            <w:tcW w:w="700" w:type="dxa"/>
            <w:tcMar>
              <w:top w:w="0" w:type="dxa"/>
              <w:bottom w:w="0" w:type="dxa"/>
            </w:tcMar>
            <w:vAlign w:val="center"/>
          </w:tcPr>
          <w:p w:rsidR="00FF19F7" w:rsidRDefault="00B04BC2">
            <w:pPr>
              <w:keepNext/>
              <w:keepLines/>
              <w:spacing w:after="0" w:line="240" w:lineRule="auto"/>
            </w:pPr>
            <w:r>
              <w:rPr>
                <w:sz w:val="18"/>
              </w:rPr>
              <w:t>3</w:t>
            </w:r>
          </w:p>
        </w:tc>
        <w:tc>
          <w:tcPr>
            <w:tcW w:w="1860" w:type="dxa"/>
            <w:tcMar>
              <w:top w:w="0" w:type="dxa"/>
              <w:bottom w:w="0" w:type="dxa"/>
            </w:tcMar>
            <w:vAlign w:val="center"/>
          </w:tcPr>
          <w:p w:rsidR="00FF19F7" w:rsidRDefault="00B04BC2">
            <w:pPr>
              <w:keepNext/>
              <w:keepLines/>
              <w:spacing w:after="0" w:line="240" w:lineRule="auto"/>
              <w:jc w:val="right"/>
            </w:pPr>
            <w:r>
              <w:rPr>
                <w:sz w:val="18"/>
              </w:rPr>
              <w:t>709.044,63</w:t>
            </w:r>
          </w:p>
        </w:tc>
        <w:tc>
          <w:tcPr>
            <w:tcW w:w="1860" w:type="dxa"/>
            <w:tcMar>
              <w:top w:w="0" w:type="dxa"/>
              <w:bottom w:w="0" w:type="dxa"/>
            </w:tcMar>
            <w:vAlign w:val="center"/>
          </w:tcPr>
          <w:p w:rsidR="00FF19F7" w:rsidRDefault="00B04BC2">
            <w:pPr>
              <w:keepNext/>
              <w:keepLines/>
              <w:spacing w:after="0" w:line="240" w:lineRule="auto"/>
              <w:jc w:val="right"/>
            </w:pPr>
            <w:r>
              <w:rPr>
                <w:sz w:val="18"/>
              </w:rPr>
              <w:t>880.479,84</w:t>
            </w:r>
          </w:p>
        </w:tc>
        <w:tc>
          <w:tcPr>
            <w:tcW w:w="700" w:type="dxa"/>
            <w:tcMar>
              <w:top w:w="0" w:type="dxa"/>
              <w:bottom w:w="0" w:type="dxa"/>
            </w:tcMar>
            <w:vAlign w:val="center"/>
          </w:tcPr>
          <w:p w:rsidR="00FF19F7" w:rsidRDefault="00B04BC2">
            <w:pPr>
              <w:keepNext/>
              <w:keepLines/>
              <w:spacing w:after="0" w:line="240" w:lineRule="auto"/>
              <w:jc w:val="right"/>
            </w:pPr>
            <w:r>
              <w:rPr>
                <w:sz w:val="18"/>
              </w:rPr>
              <w:t>124,2</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FF19F7">
            <w:pPr>
              <w:keepNext/>
              <w:keepLines/>
              <w:spacing w:after="0" w:line="240" w:lineRule="auto"/>
            </w:pPr>
          </w:p>
        </w:tc>
        <w:tc>
          <w:tcPr>
            <w:tcW w:w="3180" w:type="dxa"/>
            <w:tcMar>
              <w:top w:w="0" w:type="dxa"/>
              <w:bottom w:w="0" w:type="dxa"/>
            </w:tcMar>
            <w:vAlign w:val="center"/>
          </w:tcPr>
          <w:p w:rsidR="00FF19F7" w:rsidRDefault="00B04BC2">
            <w:pPr>
              <w:keepNext/>
              <w:keepLines/>
              <w:spacing w:after="0" w:line="240" w:lineRule="auto"/>
            </w:pPr>
            <w:r>
              <w:rPr>
                <w:b/>
                <w:sz w:val="18"/>
              </w:rPr>
              <w:t>MANJAK PRIHODA POSLOVANJA (šifre Z005-6)</w:t>
            </w:r>
          </w:p>
        </w:tc>
        <w:tc>
          <w:tcPr>
            <w:tcW w:w="700" w:type="dxa"/>
            <w:tcMar>
              <w:top w:w="0" w:type="dxa"/>
              <w:bottom w:w="0" w:type="dxa"/>
            </w:tcMar>
            <w:vAlign w:val="center"/>
          </w:tcPr>
          <w:p w:rsidR="00FF19F7" w:rsidRDefault="00B04BC2">
            <w:pPr>
              <w:keepNext/>
              <w:keepLines/>
              <w:spacing w:after="0" w:line="240" w:lineRule="auto"/>
            </w:pPr>
            <w:r>
              <w:rPr>
                <w:b/>
                <w:sz w:val="18"/>
              </w:rPr>
              <w:t>Y001</w:t>
            </w:r>
          </w:p>
        </w:tc>
        <w:tc>
          <w:tcPr>
            <w:tcW w:w="1860" w:type="dxa"/>
            <w:tcMar>
              <w:top w:w="0" w:type="dxa"/>
              <w:bottom w:w="0" w:type="dxa"/>
            </w:tcMar>
            <w:vAlign w:val="center"/>
          </w:tcPr>
          <w:p w:rsidR="00FF19F7" w:rsidRDefault="00B04BC2">
            <w:pPr>
              <w:keepNext/>
              <w:keepLines/>
              <w:spacing w:after="0" w:line="240" w:lineRule="auto"/>
              <w:jc w:val="right"/>
            </w:pPr>
            <w:r>
              <w:rPr>
                <w:b/>
                <w:sz w:val="18"/>
              </w:rPr>
              <w:t>0,00</w:t>
            </w:r>
          </w:p>
        </w:tc>
        <w:tc>
          <w:tcPr>
            <w:tcW w:w="1860" w:type="dxa"/>
            <w:tcMar>
              <w:top w:w="0" w:type="dxa"/>
              <w:bottom w:w="0" w:type="dxa"/>
            </w:tcMar>
            <w:vAlign w:val="center"/>
          </w:tcPr>
          <w:p w:rsidR="00FF19F7" w:rsidRDefault="00B04BC2">
            <w:pPr>
              <w:keepNext/>
              <w:keepLines/>
              <w:spacing w:after="0" w:line="240" w:lineRule="auto"/>
              <w:jc w:val="right"/>
            </w:pPr>
            <w:r>
              <w:rPr>
                <w:b/>
                <w:sz w:val="18"/>
              </w:rPr>
              <w:t>25.775,96</w:t>
            </w:r>
          </w:p>
        </w:tc>
        <w:tc>
          <w:tcPr>
            <w:tcW w:w="700" w:type="dxa"/>
            <w:tcMar>
              <w:top w:w="0" w:type="dxa"/>
              <w:bottom w:w="0" w:type="dxa"/>
            </w:tcMar>
            <w:vAlign w:val="center"/>
          </w:tcPr>
          <w:p w:rsidR="00FF19F7" w:rsidRDefault="00B04BC2">
            <w:pPr>
              <w:keepNext/>
              <w:keepLines/>
              <w:spacing w:after="0" w:line="240" w:lineRule="auto"/>
              <w:jc w:val="right"/>
            </w:pPr>
            <w:r>
              <w:rPr>
                <w:b/>
                <w:sz w:val="18"/>
              </w:rPr>
              <w:t>-</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7</w:t>
            </w:r>
          </w:p>
        </w:tc>
        <w:tc>
          <w:tcPr>
            <w:tcW w:w="3180" w:type="dxa"/>
            <w:tcMar>
              <w:top w:w="0" w:type="dxa"/>
              <w:bottom w:w="0" w:type="dxa"/>
            </w:tcMar>
            <w:vAlign w:val="center"/>
          </w:tcPr>
          <w:p w:rsidR="00FF19F7" w:rsidRDefault="00B04BC2">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FF19F7" w:rsidRDefault="00B04BC2">
            <w:pPr>
              <w:keepNext/>
              <w:keepLines/>
              <w:spacing w:after="0" w:line="240" w:lineRule="auto"/>
            </w:pPr>
            <w:r>
              <w:rPr>
                <w:sz w:val="18"/>
              </w:rPr>
              <w:t>7</w:t>
            </w:r>
          </w:p>
        </w:tc>
        <w:tc>
          <w:tcPr>
            <w:tcW w:w="1860" w:type="dxa"/>
            <w:tcMar>
              <w:top w:w="0" w:type="dxa"/>
              <w:bottom w:w="0" w:type="dxa"/>
            </w:tcMar>
            <w:vAlign w:val="center"/>
          </w:tcPr>
          <w:p w:rsidR="00FF19F7" w:rsidRDefault="00B04BC2">
            <w:pPr>
              <w:keepNext/>
              <w:keepLines/>
              <w:spacing w:after="0" w:line="240" w:lineRule="auto"/>
              <w:jc w:val="right"/>
            </w:pPr>
            <w:r>
              <w:rPr>
                <w:sz w:val="18"/>
              </w:rPr>
              <w:t>0,00</w:t>
            </w:r>
          </w:p>
        </w:tc>
        <w:tc>
          <w:tcPr>
            <w:tcW w:w="1860" w:type="dxa"/>
            <w:tcMar>
              <w:top w:w="0" w:type="dxa"/>
              <w:bottom w:w="0" w:type="dxa"/>
            </w:tcMar>
            <w:vAlign w:val="center"/>
          </w:tcPr>
          <w:p w:rsidR="00FF19F7" w:rsidRDefault="00B04BC2">
            <w:pPr>
              <w:keepNext/>
              <w:keepLines/>
              <w:spacing w:after="0" w:line="240" w:lineRule="auto"/>
              <w:jc w:val="right"/>
            </w:pPr>
            <w:r>
              <w:rPr>
                <w:sz w:val="18"/>
              </w:rPr>
              <w:t>0,00</w:t>
            </w:r>
          </w:p>
        </w:tc>
        <w:tc>
          <w:tcPr>
            <w:tcW w:w="700" w:type="dxa"/>
            <w:tcMar>
              <w:top w:w="0" w:type="dxa"/>
              <w:bottom w:w="0" w:type="dxa"/>
            </w:tcMar>
            <w:vAlign w:val="center"/>
          </w:tcPr>
          <w:p w:rsidR="00FF19F7" w:rsidRDefault="00B04BC2">
            <w:pPr>
              <w:keepNext/>
              <w:keepLines/>
              <w:spacing w:after="0" w:line="240" w:lineRule="auto"/>
              <w:jc w:val="right"/>
            </w:pPr>
            <w:r>
              <w:rPr>
                <w:sz w:val="18"/>
              </w:rPr>
              <w:t>-</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4</w:t>
            </w:r>
          </w:p>
        </w:tc>
        <w:tc>
          <w:tcPr>
            <w:tcW w:w="3180" w:type="dxa"/>
            <w:tcMar>
              <w:top w:w="0" w:type="dxa"/>
              <w:bottom w:w="0" w:type="dxa"/>
            </w:tcMar>
            <w:vAlign w:val="center"/>
          </w:tcPr>
          <w:p w:rsidR="00FF19F7" w:rsidRDefault="00B04BC2">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FF19F7" w:rsidRDefault="00B04BC2">
            <w:pPr>
              <w:keepNext/>
              <w:keepLines/>
              <w:spacing w:after="0" w:line="240" w:lineRule="auto"/>
            </w:pPr>
            <w:r>
              <w:rPr>
                <w:sz w:val="18"/>
              </w:rPr>
              <w:t>4</w:t>
            </w:r>
          </w:p>
        </w:tc>
        <w:tc>
          <w:tcPr>
            <w:tcW w:w="1860" w:type="dxa"/>
            <w:tcMar>
              <w:top w:w="0" w:type="dxa"/>
              <w:bottom w:w="0" w:type="dxa"/>
            </w:tcMar>
            <w:vAlign w:val="center"/>
          </w:tcPr>
          <w:p w:rsidR="00FF19F7" w:rsidRDefault="00B04BC2">
            <w:pPr>
              <w:keepNext/>
              <w:keepLines/>
              <w:spacing w:after="0" w:line="240" w:lineRule="auto"/>
              <w:jc w:val="right"/>
            </w:pPr>
            <w:r>
              <w:rPr>
                <w:sz w:val="18"/>
              </w:rPr>
              <w:t>17.405,61</w:t>
            </w:r>
          </w:p>
        </w:tc>
        <w:tc>
          <w:tcPr>
            <w:tcW w:w="1860" w:type="dxa"/>
            <w:tcMar>
              <w:top w:w="0" w:type="dxa"/>
              <w:bottom w:w="0" w:type="dxa"/>
            </w:tcMar>
            <w:vAlign w:val="center"/>
          </w:tcPr>
          <w:p w:rsidR="00FF19F7" w:rsidRDefault="00B04BC2">
            <w:pPr>
              <w:keepNext/>
              <w:keepLines/>
              <w:spacing w:after="0" w:line="240" w:lineRule="auto"/>
              <w:jc w:val="right"/>
            </w:pPr>
            <w:r>
              <w:rPr>
                <w:sz w:val="18"/>
              </w:rPr>
              <w:t>34.182,64</w:t>
            </w:r>
          </w:p>
        </w:tc>
        <w:tc>
          <w:tcPr>
            <w:tcW w:w="700" w:type="dxa"/>
            <w:tcMar>
              <w:top w:w="0" w:type="dxa"/>
              <w:bottom w:w="0" w:type="dxa"/>
            </w:tcMar>
            <w:vAlign w:val="center"/>
          </w:tcPr>
          <w:p w:rsidR="00FF19F7" w:rsidRDefault="00B04BC2">
            <w:pPr>
              <w:keepNext/>
              <w:keepLines/>
              <w:spacing w:after="0" w:line="240" w:lineRule="auto"/>
              <w:jc w:val="right"/>
            </w:pPr>
            <w:r>
              <w:rPr>
                <w:sz w:val="18"/>
              </w:rPr>
              <w:t>196,4</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FF19F7">
            <w:pPr>
              <w:keepNext/>
              <w:keepLines/>
              <w:spacing w:after="0" w:line="240" w:lineRule="auto"/>
            </w:pPr>
          </w:p>
        </w:tc>
        <w:tc>
          <w:tcPr>
            <w:tcW w:w="3180" w:type="dxa"/>
            <w:tcMar>
              <w:top w:w="0" w:type="dxa"/>
              <w:bottom w:w="0" w:type="dxa"/>
            </w:tcMar>
            <w:vAlign w:val="center"/>
          </w:tcPr>
          <w:p w:rsidR="00FF19F7" w:rsidRDefault="00B04BC2">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FF19F7" w:rsidRDefault="00B04BC2">
            <w:pPr>
              <w:keepNext/>
              <w:keepLines/>
              <w:spacing w:after="0" w:line="240" w:lineRule="auto"/>
            </w:pPr>
            <w:r>
              <w:rPr>
                <w:b/>
                <w:sz w:val="18"/>
              </w:rPr>
              <w:t>Y002</w:t>
            </w:r>
          </w:p>
        </w:tc>
        <w:tc>
          <w:tcPr>
            <w:tcW w:w="1860" w:type="dxa"/>
            <w:tcMar>
              <w:top w:w="0" w:type="dxa"/>
              <w:bottom w:w="0" w:type="dxa"/>
            </w:tcMar>
            <w:vAlign w:val="center"/>
          </w:tcPr>
          <w:p w:rsidR="00FF19F7" w:rsidRDefault="00B04BC2">
            <w:pPr>
              <w:keepNext/>
              <w:keepLines/>
              <w:spacing w:after="0" w:line="240" w:lineRule="auto"/>
              <w:jc w:val="right"/>
            </w:pPr>
            <w:r>
              <w:rPr>
                <w:b/>
                <w:sz w:val="18"/>
              </w:rPr>
              <w:t>17.405,61</w:t>
            </w:r>
          </w:p>
        </w:tc>
        <w:tc>
          <w:tcPr>
            <w:tcW w:w="1860" w:type="dxa"/>
            <w:tcMar>
              <w:top w:w="0" w:type="dxa"/>
              <w:bottom w:w="0" w:type="dxa"/>
            </w:tcMar>
            <w:vAlign w:val="center"/>
          </w:tcPr>
          <w:p w:rsidR="00FF19F7" w:rsidRDefault="00B04BC2">
            <w:pPr>
              <w:keepNext/>
              <w:keepLines/>
              <w:spacing w:after="0" w:line="240" w:lineRule="auto"/>
              <w:jc w:val="right"/>
            </w:pPr>
            <w:r>
              <w:rPr>
                <w:b/>
                <w:sz w:val="18"/>
              </w:rPr>
              <w:t>34.182,64</w:t>
            </w:r>
          </w:p>
        </w:tc>
        <w:tc>
          <w:tcPr>
            <w:tcW w:w="700" w:type="dxa"/>
            <w:tcMar>
              <w:top w:w="0" w:type="dxa"/>
              <w:bottom w:w="0" w:type="dxa"/>
            </w:tcMar>
            <w:vAlign w:val="center"/>
          </w:tcPr>
          <w:p w:rsidR="00FF19F7" w:rsidRDefault="00B04BC2">
            <w:pPr>
              <w:keepNext/>
              <w:keepLines/>
              <w:spacing w:after="0" w:line="240" w:lineRule="auto"/>
              <w:jc w:val="right"/>
            </w:pPr>
            <w:r>
              <w:rPr>
                <w:b/>
                <w:sz w:val="18"/>
              </w:rPr>
              <w:t>196,4</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8</w:t>
            </w:r>
          </w:p>
        </w:tc>
        <w:tc>
          <w:tcPr>
            <w:tcW w:w="3180" w:type="dxa"/>
            <w:tcMar>
              <w:top w:w="0" w:type="dxa"/>
              <w:bottom w:w="0" w:type="dxa"/>
            </w:tcMar>
            <w:vAlign w:val="center"/>
          </w:tcPr>
          <w:p w:rsidR="00FF19F7" w:rsidRDefault="00B04BC2">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FF19F7" w:rsidRDefault="00B04BC2">
            <w:pPr>
              <w:keepNext/>
              <w:keepLines/>
              <w:spacing w:after="0" w:line="240" w:lineRule="auto"/>
            </w:pPr>
            <w:r>
              <w:rPr>
                <w:sz w:val="18"/>
              </w:rPr>
              <w:t>8</w:t>
            </w:r>
          </w:p>
        </w:tc>
        <w:tc>
          <w:tcPr>
            <w:tcW w:w="1860" w:type="dxa"/>
            <w:tcMar>
              <w:top w:w="0" w:type="dxa"/>
              <w:bottom w:w="0" w:type="dxa"/>
            </w:tcMar>
            <w:vAlign w:val="center"/>
          </w:tcPr>
          <w:p w:rsidR="00FF19F7" w:rsidRDefault="00B04BC2">
            <w:pPr>
              <w:keepNext/>
              <w:keepLines/>
              <w:spacing w:after="0" w:line="240" w:lineRule="auto"/>
              <w:jc w:val="right"/>
            </w:pPr>
            <w:r>
              <w:rPr>
                <w:sz w:val="18"/>
              </w:rPr>
              <w:t>0,00</w:t>
            </w:r>
          </w:p>
        </w:tc>
        <w:tc>
          <w:tcPr>
            <w:tcW w:w="1860" w:type="dxa"/>
            <w:tcMar>
              <w:top w:w="0" w:type="dxa"/>
              <w:bottom w:w="0" w:type="dxa"/>
            </w:tcMar>
            <w:vAlign w:val="center"/>
          </w:tcPr>
          <w:p w:rsidR="00FF19F7" w:rsidRDefault="00B04BC2">
            <w:pPr>
              <w:keepNext/>
              <w:keepLines/>
              <w:spacing w:after="0" w:line="240" w:lineRule="auto"/>
              <w:jc w:val="right"/>
            </w:pPr>
            <w:r>
              <w:rPr>
                <w:sz w:val="18"/>
              </w:rPr>
              <w:t>0,00</w:t>
            </w:r>
          </w:p>
        </w:tc>
        <w:tc>
          <w:tcPr>
            <w:tcW w:w="700" w:type="dxa"/>
            <w:tcMar>
              <w:top w:w="0" w:type="dxa"/>
              <w:bottom w:w="0" w:type="dxa"/>
            </w:tcMar>
            <w:vAlign w:val="center"/>
          </w:tcPr>
          <w:p w:rsidR="00FF19F7" w:rsidRDefault="00B04BC2">
            <w:pPr>
              <w:keepNext/>
              <w:keepLines/>
              <w:spacing w:after="0" w:line="240" w:lineRule="auto"/>
              <w:jc w:val="right"/>
            </w:pPr>
            <w:r>
              <w:rPr>
                <w:sz w:val="18"/>
              </w:rPr>
              <w:t>-</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5</w:t>
            </w:r>
          </w:p>
        </w:tc>
        <w:tc>
          <w:tcPr>
            <w:tcW w:w="3180" w:type="dxa"/>
            <w:tcMar>
              <w:top w:w="0" w:type="dxa"/>
              <w:bottom w:w="0" w:type="dxa"/>
            </w:tcMar>
            <w:vAlign w:val="center"/>
          </w:tcPr>
          <w:p w:rsidR="00FF19F7" w:rsidRDefault="00B04BC2">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FF19F7" w:rsidRDefault="00B04BC2">
            <w:pPr>
              <w:keepNext/>
              <w:keepLines/>
              <w:spacing w:after="0" w:line="240" w:lineRule="auto"/>
            </w:pPr>
            <w:r>
              <w:rPr>
                <w:sz w:val="18"/>
              </w:rPr>
              <w:t>5</w:t>
            </w:r>
          </w:p>
        </w:tc>
        <w:tc>
          <w:tcPr>
            <w:tcW w:w="1860" w:type="dxa"/>
            <w:tcMar>
              <w:top w:w="0" w:type="dxa"/>
              <w:bottom w:w="0" w:type="dxa"/>
            </w:tcMar>
            <w:vAlign w:val="center"/>
          </w:tcPr>
          <w:p w:rsidR="00FF19F7" w:rsidRDefault="00B04BC2">
            <w:pPr>
              <w:keepNext/>
              <w:keepLines/>
              <w:spacing w:after="0" w:line="240" w:lineRule="auto"/>
              <w:jc w:val="right"/>
            </w:pPr>
            <w:r>
              <w:rPr>
                <w:sz w:val="18"/>
              </w:rPr>
              <w:t>0,00</w:t>
            </w:r>
          </w:p>
        </w:tc>
        <w:tc>
          <w:tcPr>
            <w:tcW w:w="1860" w:type="dxa"/>
            <w:tcMar>
              <w:top w:w="0" w:type="dxa"/>
              <w:bottom w:w="0" w:type="dxa"/>
            </w:tcMar>
            <w:vAlign w:val="center"/>
          </w:tcPr>
          <w:p w:rsidR="00FF19F7" w:rsidRDefault="00B04BC2">
            <w:pPr>
              <w:keepNext/>
              <w:keepLines/>
              <w:spacing w:after="0" w:line="240" w:lineRule="auto"/>
              <w:jc w:val="right"/>
            </w:pPr>
            <w:r>
              <w:rPr>
                <w:sz w:val="18"/>
              </w:rPr>
              <w:t>0,00</w:t>
            </w:r>
          </w:p>
        </w:tc>
        <w:tc>
          <w:tcPr>
            <w:tcW w:w="700" w:type="dxa"/>
            <w:tcMar>
              <w:top w:w="0" w:type="dxa"/>
              <w:bottom w:w="0" w:type="dxa"/>
            </w:tcMar>
            <w:vAlign w:val="center"/>
          </w:tcPr>
          <w:p w:rsidR="00FF19F7" w:rsidRDefault="00B04BC2">
            <w:pPr>
              <w:keepNext/>
              <w:keepLines/>
              <w:spacing w:after="0" w:line="240" w:lineRule="auto"/>
              <w:jc w:val="right"/>
            </w:pPr>
            <w:r>
              <w:rPr>
                <w:sz w:val="18"/>
              </w:rPr>
              <w:t>-</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FF19F7">
            <w:pPr>
              <w:keepNext/>
              <w:keepLines/>
              <w:spacing w:after="0" w:line="240" w:lineRule="auto"/>
            </w:pPr>
          </w:p>
        </w:tc>
        <w:tc>
          <w:tcPr>
            <w:tcW w:w="3180" w:type="dxa"/>
            <w:tcMar>
              <w:top w:w="0" w:type="dxa"/>
              <w:bottom w:w="0" w:type="dxa"/>
            </w:tcMar>
            <w:vAlign w:val="center"/>
          </w:tcPr>
          <w:p w:rsidR="00FF19F7" w:rsidRDefault="00B04BC2">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FF19F7" w:rsidRDefault="00B04BC2">
            <w:pPr>
              <w:keepNext/>
              <w:keepLines/>
              <w:spacing w:after="0" w:line="240" w:lineRule="auto"/>
            </w:pPr>
            <w:r>
              <w:rPr>
                <w:b/>
                <w:sz w:val="18"/>
              </w:rPr>
              <w:t>X003, Y003</w:t>
            </w:r>
          </w:p>
        </w:tc>
        <w:tc>
          <w:tcPr>
            <w:tcW w:w="1860" w:type="dxa"/>
            <w:tcMar>
              <w:top w:w="0" w:type="dxa"/>
              <w:bottom w:w="0" w:type="dxa"/>
            </w:tcMar>
            <w:vAlign w:val="center"/>
          </w:tcPr>
          <w:p w:rsidR="00FF19F7" w:rsidRDefault="00B04BC2">
            <w:pPr>
              <w:keepNext/>
              <w:keepLines/>
              <w:spacing w:after="0" w:line="240" w:lineRule="auto"/>
              <w:jc w:val="right"/>
            </w:pPr>
            <w:r>
              <w:rPr>
                <w:b/>
                <w:sz w:val="18"/>
              </w:rPr>
              <w:t>0,00</w:t>
            </w:r>
          </w:p>
        </w:tc>
        <w:tc>
          <w:tcPr>
            <w:tcW w:w="1860" w:type="dxa"/>
            <w:tcMar>
              <w:top w:w="0" w:type="dxa"/>
              <w:bottom w:w="0" w:type="dxa"/>
            </w:tcMar>
            <w:vAlign w:val="center"/>
          </w:tcPr>
          <w:p w:rsidR="00FF19F7" w:rsidRDefault="00B04BC2">
            <w:pPr>
              <w:keepNext/>
              <w:keepLines/>
              <w:spacing w:after="0" w:line="240" w:lineRule="auto"/>
              <w:jc w:val="right"/>
            </w:pPr>
            <w:r>
              <w:rPr>
                <w:b/>
                <w:sz w:val="18"/>
              </w:rPr>
              <w:t>0,00</w:t>
            </w:r>
          </w:p>
        </w:tc>
        <w:tc>
          <w:tcPr>
            <w:tcW w:w="700" w:type="dxa"/>
            <w:tcMar>
              <w:top w:w="0" w:type="dxa"/>
              <w:bottom w:w="0" w:type="dxa"/>
            </w:tcMar>
            <w:vAlign w:val="center"/>
          </w:tcPr>
          <w:p w:rsidR="00FF19F7" w:rsidRDefault="00B04BC2">
            <w:pPr>
              <w:keepNext/>
              <w:keepLines/>
              <w:spacing w:after="0" w:line="240" w:lineRule="auto"/>
              <w:jc w:val="right"/>
            </w:pPr>
            <w:r>
              <w:rPr>
                <w:b/>
                <w:sz w:val="18"/>
              </w:rPr>
              <w:t>-</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FF19F7">
            <w:pPr>
              <w:keepNext/>
              <w:keepLines/>
              <w:spacing w:after="0" w:line="240" w:lineRule="auto"/>
            </w:pPr>
          </w:p>
        </w:tc>
        <w:tc>
          <w:tcPr>
            <w:tcW w:w="3180" w:type="dxa"/>
            <w:tcMar>
              <w:top w:w="0" w:type="dxa"/>
              <w:bottom w:w="0" w:type="dxa"/>
            </w:tcMar>
            <w:vAlign w:val="center"/>
          </w:tcPr>
          <w:p w:rsidR="00FF19F7" w:rsidRDefault="00B04BC2">
            <w:pPr>
              <w:keepNext/>
              <w:keepLines/>
              <w:spacing w:after="0" w:line="240" w:lineRule="auto"/>
            </w:pPr>
            <w:r>
              <w:rPr>
                <w:b/>
                <w:sz w:val="18"/>
              </w:rPr>
              <w:t>MANJAK PRIHODA I PRIMITAKA (šifre Y345-X678)</w:t>
            </w:r>
          </w:p>
        </w:tc>
        <w:tc>
          <w:tcPr>
            <w:tcW w:w="700" w:type="dxa"/>
            <w:tcMar>
              <w:top w:w="0" w:type="dxa"/>
              <w:bottom w:w="0" w:type="dxa"/>
            </w:tcMar>
            <w:vAlign w:val="center"/>
          </w:tcPr>
          <w:p w:rsidR="00FF19F7" w:rsidRDefault="00B04BC2">
            <w:pPr>
              <w:keepNext/>
              <w:keepLines/>
              <w:spacing w:after="0" w:line="240" w:lineRule="auto"/>
            </w:pPr>
            <w:r>
              <w:rPr>
                <w:b/>
                <w:sz w:val="18"/>
              </w:rPr>
              <w:t>Y005</w:t>
            </w:r>
          </w:p>
        </w:tc>
        <w:tc>
          <w:tcPr>
            <w:tcW w:w="1860" w:type="dxa"/>
            <w:tcMar>
              <w:top w:w="0" w:type="dxa"/>
              <w:bottom w:w="0" w:type="dxa"/>
            </w:tcMar>
            <w:vAlign w:val="center"/>
          </w:tcPr>
          <w:p w:rsidR="00FF19F7" w:rsidRDefault="00B04BC2">
            <w:pPr>
              <w:keepNext/>
              <w:keepLines/>
              <w:spacing w:after="0" w:line="240" w:lineRule="auto"/>
              <w:jc w:val="right"/>
            </w:pPr>
            <w:r>
              <w:rPr>
                <w:b/>
                <w:sz w:val="18"/>
              </w:rPr>
              <w:t>0,00</w:t>
            </w:r>
          </w:p>
        </w:tc>
        <w:tc>
          <w:tcPr>
            <w:tcW w:w="1860" w:type="dxa"/>
            <w:tcMar>
              <w:top w:w="0" w:type="dxa"/>
              <w:bottom w:w="0" w:type="dxa"/>
            </w:tcMar>
            <w:vAlign w:val="center"/>
          </w:tcPr>
          <w:p w:rsidR="00FF19F7" w:rsidRDefault="00B04BC2">
            <w:pPr>
              <w:keepNext/>
              <w:keepLines/>
              <w:spacing w:after="0" w:line="240" w:lineRule="auto"/>
              <w:jc w:val="right"/>
            </w:pPr>
            <w:r>
              <w:rPr>
                <w:b/>
                <w:sz w:val="18"/>
              </w:rPr>
              <w:t>59.958,60</w:t>
            </w:r>
          </w:p>
        </w:tc>
        <w:tc>
          <w:tcPr>
            <w:tcW w:w="700" w:type="dxa"/>
            <w:tcMar>
              <w:top w:w="0" w:type="dxa"/>
              <w:bottom w:w="0" w:type="dxa"/>
            </w:tcMar>
            <w:vAlign w:val="center"/>
          </w:tcPr>
          <w:p w:rsidR="00FF19F7" w:rsidRDefault="00B04BC2">
            <w:pPr>
              <w:keepNext/>
              <w:keepLines/>
              <w:spacing w:after="0" w:line="240" w:lineRule="auto"/>
              <w:jc w:val="right"/>
            </w:pPr>
            <w:r>
              <w:rPr>
                <w:b/>
                <w:sz w:val="18"/>
              </w:rPr>
              <w:t>-</w:t>
            </w:r>
          </w:p>
        </w:tc>
      </w:tr>
    </w:tbl>
    <w:p w:rsidR="00FF19F7" w:rsidRDefault="00FF19F7">
      <w:pPr>
        <w:spacing w:after="0"/>
      </w:pPr>
    </w:p>
    <w:p w:rsidR="00FF19F7" w:rsidRDefault="00B04BC2">
      <w:r>
        <w:rPr>
          <w:b/>
          <w:i/>
        </w:rPr>
        <w:t>Ukupni prihodi poslovanja</w:t>
      </w:r>
      <w:r>
        <w:t xml:space="preserve"> u razdoblju od 1. siječnja do 31. prosinca 2025. godine ostvareni su u iznosu od 854.703,88 eura. U odnosu na isto razdoblje prethodne godine, prihodi poslovanja povećani su za 16,6 %. Najznačajnije povećanje prihoda poslovanja ostvareno je po osnovi teku</w:t>
      </w:r>
      <w:r>
        <w:t>ćih pomoći proračunskim korisnicima iz proračuna koji im nije nadležan, a isto je posljedica povećanja osnovice za obračun plaća zaposlenika u javnim službama tijekom 2025. godine. Promjene u vidu povećanja evidentirane su i na prihodima od pruženih usluga</w:t>
      </w:r>
      <w:r>
        <w:t xml:space="preserve">, a razlog tome je povećanje satnice najma učionice za izvođenje nastave stranog jezika, pri </w:t>
      </w:r>
      <w:r>
        <w:lastRenderedPageBreak/>
        <w:t>čemu se u ovoj školskoj godini nastava odvijala u dvije grupe. Također, ostvareni su i veći prihodi iz nadležnog proračuna za financiranje redovne djelatnosti pror</w:t>
      </w:r>
      <w:r>
        <w:t>ačunskih korisnika, a temeljem sredstava dobivenih od osnivača zbog povećanja broja razrednih odjela. U odnosu na prethodno razdoblje, kada je škola imala 7 razrednih odjela, u 2025. godini broj razrednih odjela povećan je na 8.</w:t>
      </w:r>
    </w:p>
    <w:p w:rsidR="00FF19F7" w:rsidRDefault="00B04BC2">
      <w:r>
        <w:rPr>
          <w:b/>
          <w:i/>
        </w:rPr>
        <w:t>Ukupni rashodi poslovanja</w:t>
      </w:r>
      <w:r w:rsidR="00632FEC">
        <w:rPr>
          <w:b/>
          <w:i/>
        </w:rPr>
        <w:t xml:space="preserve"> </w:t>
      </w:r>
      <w:r>
        <w:t xml:space="preserve">u </w:t>
      </w:r>
      <w:r>
        <w:t>razdoblju od 1. siječnja do 31. prosinca 2025. godine izvršeni su u iznosu od 880.479,84 eura, što predstavlja povećanje od 24,2 % u odnosu na isto izvještajno razdoblje prethodne godine. Najznačajnije povećanje rashoda poslovanja evidentirano je na rashod</w:t>
      </w:r>
      <w:r>
        <w:t>ima za zaposlene, prvenstveno na rashodima za plaće, a kao posljedica povećanja osnovice za obračun plaća, ostvarenog većeg broja prekovremenih sati rada zbog zamjena za bolovanja, te isplate povlaštene otpremnine djelatnici zbog odlaska u prijevremenu mir</w:t>
      </w:r>
      <w:r>
        <w:t>ovinu. Ujedno, povećanje rashoda zabilježeno je i na rashodima za usluge, a odnosi se na rekonstrukciju svih ulaznih vrata, provedenu u skladu s Planom sigurnosti školske ustanove. Također, uvećanje je evidentirano i na naknadama građanima i kućanstvima na</w:t>
      </w:r>
      <w:r>
        <w:t xml:space="preserve"> temelju osiguranja i drugih naknada, unutar kojih se bilježe rashodi za nabavu radnih udžbenika za učenike, a zbog nabave većeg broja udžbenika.</w:t>
      </w:r>
    </w:p>
    <w:p w:rsidR="00FF19F7" w:rsidRDefault="00B04BC2">
      <w:r>
        <w:t xml:space="preserve">U navedenom razdoblju nisu ostvareni </w:t>
      </w:r>
      <w:r>
        <w:rPr>
          <w:b/>
          <w:i/>
        </w:rPr>
        <w:t>prihodi od prodaje nefinancijske imovine</w:t>
      </w:r>
      <w:r>
        <w:t>, dok su ukupni rashodi za nabavu</w:t>
      </w:r>
      <w:r>
        <w:t xml:space="preserve"> nefinancijske imovine iznosili 34.182,64 eura. U odnosu na prethodno razdoblje, navedeni rashodi uvećani su za 96,4 %. Povećanje </w:t>
      </w:r>
      <w:r>
        <w:rPr>
          <w:b/>
          <w:i/>
        </w:rPr>
        <w:t>rashoda za nabavu nefinancijske imovine</w:t>
      </w:r>
      <w:r>
        <w:t xml:space="preserve"> rezultat je nabave računala i pametnih ploča za opremanje informatičke učionice, kao i</w:t>
      </w:r>
      <w:r>
        <w:t xml:space="preserve"> nabave školskih stolica i namještaja za opremanje učionice prvog razreda i produženog boravka.</w:t>
      </w:r>
    </w:p>
    <w:p w:rsidR="00FF19F7" w:rsidRDefault="00B04BC2">
      <w:r>
        <w:t>U navedenom razdoblju nije bilo ostvarenih primitaka i izdataka od financijske imovine i zaduživanja.</w:t>
      </w:r>
    </w:p>
    <w:p w:rsidR="00FF19F7" w:rsidRDefault="00B04BC2">
      <w:r>
        <w:t>U razdoblju od 1. siječnja do 31. prosinca 2025. godine os</w:t>
      </w:r>
      <w:r>
        <w:t xml:space="preserve">tvaren je manjak prihoda poslovanja u iznosu od 25.775,96 eura, kao i manjak prihoda od nefinancijske imovine u iznosu od 34.182,64 eura, slijedom čega je na kraju izvještajnog razdoblja ostvaren </w:t>
      </w:r>
      <w:r>
        <w:rPr>
          <w:b/>
          <w:i/>
        </w:rPr>
        <w:t xml:space="preserve">ukupan manjak prihoda i </w:t>
      </w:r>
      <w:proofErr w:type="spellStart"/>
      <w:r>
        <w:rPr>
          <w:b/>
          <w:i/>
        </w:rPr>
        <w:t>primitaka</w:t>
      </w:r>
      <w:r>
        <w:t>u</w:t>
      </w:r>
      <w:proofErr w:type="spellEnd"/>
      <w:r>
        <w:t xml:space="preserve"> iznosu od </w:t>
      </w:r>
      <w:r>
        <w:rPr>
          <w:b/>
          <w:i/>
        </w:rPr>
        <w:t>59.958,60 eura</w:t>
      </w:r>
      <w:r>
        <w:t>.</w:t>
      </w:r>
      <w:r>
        <w:t xml:space="preserve"> Nastali manjak rezultat je povećanih rashoda poslovanja i rashoda za nabavu nefinancijske imovine, prvenstveno uslijed povećanja rashoda za zaposlene, provedbe mjera sigurnosti školske ustanove kao i ulaganja u opremanje učionica i informatičke učionice. </w:t>
      </w:r>
      <w:r>
        <w:t>Ostvareni manjak planira se pokriti iz sredstava dobivenih od osnivača i državnog proračuna.</w:t>
      </w:r>
    </w:p>
    <w:p w:rsidR="00FF19F7" w:rsidRDefault="00B04BC2">
      <w:r>
        <w:br/>
      </w:r>
    </w:p>
    <w:p w:rsidR="00FF19F7" w:rsidRDefault="00B04BC2">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6361</w:t>
            </w:r>
          </w:p>
        </w:tc>
        <w:tc>
          <w:tcPr>
            <w:tcW w:w="3180" w:type="dxa"/>
            <w:tcMar>
              <w:top w:w="0" w:type="dxa"/>
              <w:bottom w:w="0" w:type="dxa"/>
            </w:tcMar>
            <w:vAlign w:val="center"/>
          </w:tcPr>
          <w:p w:rsidR="00FF19F7" w:rsidRDefault="00B04BC2">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FF19F7" w:rsidRDefault="00B04BC2">
            <w:pPr>
              <w:keepNext/>
              <w:keepLines/>
              <w:spacing w:after="0" w:line="240" w:lineRule="auto"/>
            </w:pPr>
            <w:r>
              <w:rPr>
                <w:sz w:val="18"/>
              </w:rPr>
              <w:t>6361</w:t>
            </w:r>
          </w:p>
        </w:tc>
        <w:tc>
          <w:tcPr>
            <w:tcW w:w="1860" w:type="dxa"/>
            <w:tcMar>
              <w:top w:w="0" w:type="dxa"/>
              <w:bottom w:w="0" w:type="dxa"/>
            </w:tcMar>
            <w:vAlign w:val="center"/>
          </w:tcPr>
          <w:p w:rsidR="00FF19F7" w:rsidRDefault="00B04BC2">
            <w:pPr>
              <w:keepNext/>
              <w:keepLines/>
              <w:spacing w:after="0" w:line="240" w:lineRule="auto"/>
              <w:jc w:val="right"/>
            </w:pPr>
            <w:r>
              <w:rPr>
                <w:sz w:val="18"/>
              </w:rPr>
              <w:t>624.265,78</w:t>
            </w:r>
          </w:p>
        </w:tc>
        <w:tc>
          <w:tcPr>
            <w:tcW w:w="1860" w:type="dxa"/>
            <w:tcMar>
              <w:top w:w="0" w:type="dxa"/>
              <w:bottom w:w="0" w:type="dxa"/>
            </w:tcMar>
            <w:vAlign w:val="center"/>
          </w:tcPr>
          <w:p w:rsidR="00FF19F7" w:rsidRDefault="00B04BC2">
            <w:pPr>
              <w:keepNext/>
              <w:keepLines/>
              <w:spacing w:after="0" w:line="240" w:lineRule="auto"/>
              <w:jc w:val="right"/>
            </w:pPr>
            <w:r>
              <w:rPr>
                <w:sz w:val="18"/>
              </w:rPr>
              <w:t>736.859,67</w:t>
            </w:r>
          </w:p>
        </w:tc>
        <w:tc>
          <w:tcPr>
            <w:tcW w:w="700" w:type="dxa"/>
            <w:tcMar>
              <w:top w:w="0" w:type="dxa"/>
              <w:bottom w:w="0" w:type="dxa"/>
            </w:tcMar>
            <w:vAlign w:val="center"/>
          </w:tcPr>
          <w:p w:rsidR="00FF19F7" w:rsidRDefault="00B04BC2">
            <w:pPr>
              <w:keepNext/>
              <w:keepLines/>
              <w:spacing w:after="0" w:line="240" w:lineRule="auto"/>
              <w:jc w:val="right"/>
            </w:pPr>
            <w:r>
              <w:rPr>
                <w:sz w:val="18"/>
              </w:rPr>
              <w:t>118,0</w:t>
            </w:r>
          </w:p>
        </w:tc>
      </w:tr>
    </w:tbl>
    <w:p w:rsidR="00FF19F7" w:rsidRDefault="00FF19F7">
      <w:pPr>
        <w:spacing w:after="0"/>
      </w:pPr>
    </w:p>
    <w:p w:rsidR="00FF19F7" w:rsidRDefault="00B04BC2">
      <w:r>
        <w:t xml:space="preserve">Prihodi od tekućih pomoći proračunskim korisnicima iz proračuna koji im nije nadležan bilježe povećanje od 18% u odnosu na prethodno isto izvještajno razdoblje zbog rasta plaća </w:t>
      </w:r>
      <w:r>
        <w:lastRenderedPageBreak/>
        <w:t>zaposlenicima uslijed povećanja osnovce za obračun plaća u javnim i državnim sl</w:t>
      </w:r>
      <w:r>
        <w:t>užbama te isplate povlaštene otpremnine za zaposlenicu zbog prijevremenog odlaska u mirovinu.</w:t>
      </w:r>
    </w:p>
    <w:p w:rsidR="00FF19F7" w:rsidRDefault="00FF19F7"/>
    <w:p w:rsidR="00FF19F7" w:rsidRDefault="00B04BC2">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6362</w:t>
            </w:r>
          </w:p>
        </w:tc>
        <w:tc>
          <w:tcPr>
            <w:tcW w:w="3180" w:type="dxa"/>
            <w:tcMar>
              <w:top w:w="0" w:type="dxa"/>
              <w:bottom w:w="0" w:type="dxa"/>
            </w:tcMar>
            <w:vAlign w:val="center"/>
          </w:tcPr>
          <w:p w:rsidR="00FF19F7" w:rsidRDefault="00B04BC2">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rsidR="00FF19F7" w:rsidRDefault="00B04BC2">
            <w:pPr>
              <w:keepNext/>
              <w:keepLines/>
              <w:spacing w:after="0" w:line="240" w:lineRule="auto"/>
            </w:pPr>
            <w:r>
              <w:rPr>
                <w:sz w:val="18"/>
              </w:rPr>
              <w:t>6362</w:t>
            </w:r>
          </w:p>
        </w:tc>
        <w:tc>
          <w:tcPr>
            <w:tcW w:w="1860" w:type="dxa"/>
            <w:tcMar>
              <w:top w:w="0" w:type="dxa"/>
              <w:bottom w:w="0" w:type="dxa"/>
            </w:tcMar>
            <w:vAlign w:val="center"/>
          </w:tcPr>
          <w:p w:rsidR="00FF19F7" w:rsidRDefault="00B04BC2">
            <w:pPr>
              <w:keepNext/>
              <w:keepLines/>
              <w:spacing w:after="0" w:line="240" w:lineRule="auto"/>
              <w:jc w:val="right"/>
            </w:pPr>
            <w:r>
              <w:rPr>
                <w:sz w:val="18"/>
              </w:rPr>
              <w:t>2.130,68</w:t>
            </w:r>
          </w:p>
        </w:tc>
        <w:tc>
          <w:tcPr>
            <w:tcW w:w="1860" w:type="dxa"/>
            <w:tcMar>
              <w:top w:w="0" w:type="dxa"/>
              <w:bottom w:w="0" w:type="dxa"/>
            </w:tcMar>
            <w:vAlign w:val="center"/>
          </w:tcPr>
          <w:p w:rsidR="00FF19F7" w:rsidRDefault="00B04BC2">
            <w:pPr>
              <w:keepNext/>
              <w:keepLines/>
              <w:spacing w:after="0" w:line="240" w:lineRule="auto"/>
              <w:jc w:val="right"/>
            </w:pPr>
            <w:r>
              <w:rPr>
                <w:sz w:val="18"/>
              </w:rPr>
              <w:t>426,33</w:t>
            </w:r>
          </w:p>
        </w:tc>
        <w:tc>
          <w:tcPr>
            <w:tcW w:w="700" w:type="dxa"/>
            <w:tcMar>
              <w:top w:w="0" w:type="dxa"/>
              <w:bottom w:w="0" w:type="dxa"/>
            </w:tcMar>
            <w:vAlign w:val="center"/>
          </w:tcPr>
          <w:p w:rsidR="00FF19F7" w:rsidRDefault="00B04BC2">
            <w:pPr>
              <w:keepNext/>
              <w:keepLines/>
              <w:spacing w:after="0" w:line="240" w:lineRule="auto"/>
              <w:jc w:val="right"/>
            </w:pPr>
            <w:r>
              <w:rPr>
                <w:sz w:val="18"/>
              </w:rPr>
              <w:t>20,0</w:t>
            </w:r>
          </w:p>
        </w:tc>
      </w:tr>
    </w:tbl>
    <w:p w:rsidR="00FF19F7" w:rsidRDefault="00FF19F7">
      <w:pPr>
        <w:spacing w:after="0"/>
      </w:pPr>
    </w:p>
    <w:p w:rsidR="00FF19F7" w:rsidRDefault="00B04BC2">
      <w:r>
        <w:t>Prihodi od kapitalnih pomoći proračunskim korisnicima iz proračuna koji im nije nadležan bilježe smanjenje od 80 % u odnosu na isto izvještajno razdoblje prethodne godine. Razlog navedenog smanjenja je manji obujam nabave višegodišnjih (trajnih) udžbenika,</w:t>
      </w:r>
      <w:r>
        <w:t xml:space="preserve"> koji se financiraju sredstvima Ministarstva znanosti, obrazovanja i mladih, budući da se u tekućoj školskoj godini koristio veći broj udžbenika nabavljenih u prethodnim godinama.</w:t>
      </w:r>
    </w:p>
    <w:p w:rsidR="00FF19F7" w:rsidRDefault="00FF19F7"/>
    <w:p w:rsidR="00FF19F7" w:rsidRDefault="00B04BC2">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6614</w:t>
            </w:r>
          </w:p>
        </w:tc>
        <w:tc>
          <w:tcPr>
            <w:tcW w:w="3180" w:type="dxa"/>
            <w:tcMar>
              <w:top w:w="0" w:type="dxa"/>
              <w:bottom w:w="0" w:type="dxa"/>
            </w:tcMar>
            <w:vAlign w:val="center"/>
          </w:tcPr>
          <w:p w:rsidR="00FF19F7" w:rsidRDefault="00B04BC2">
            <w:pPr>
              <w:keepNext/>
              <w:keepLines/>
              <w:spacing w:after="0" w:line="240" w:lineRule="auto"/>
            </w:pPr>
            <w:r>
              <w:rPr>
                <w:sz w:val="18"/>
              </w:rPr>
              <w:t>Prihodi od prodaje proizvoda i robe</w:t>
            </w:r>
          </w:p>
        </w:tc>
        <w:tc>
          <w:tcPr>
            <w:tcW w:w="700" w:type="dxa"/>
            <w:tcMar>
              <w:top w:w="0" w:type="dxa"/>
              <w:bottom w:w="0" w:type="dxa"/>
            </w:tcMar>
            <w:vAlign w:val="center"/>
          </w:tcPr>
          <w:p w:rsidR="00FF19F7" w:rsidRDefault="00B04BC2">
            <w:pPr>
              <w:keepNext/>
              <w:keepLines/>
              <w:spacing w:after="0" w:line="240" w:lineRule="auto"/>
            </w:pPr>
            <w:r>
              <w:rPr>
                <w:sz w:val="18"/>
              </w:rPr>
              <w:t>6614</w:t>
            </w:r>
          </w:p>
        </w:tc>
        <w:tc>
          <w:tcPr>
            <w:tcW w:w="1860" w:type="dxa"/>
            <w:tcMar>
              <w:top w:w="0" w:type="dxa"/>
              <w:bottom w:w="0" w:type="dxa"/>
            </w:tcMar>
            <w:vAlign w:val="center"/>
          </w:tcPr>
          <w:p w:rsidR="00FF19F7" w:rsidRDefault="00B04BC2">
            <w:pPr>
              <w:keepNext/>
              <w:keepLines/>
              <w:spacing w:after="0" w:line="240" w:lineRule="auto"/>
              <w:jc w:val="right"/>
            </w:pPr>
            <w:r>
              <w:rPr>
                <w:sz w:val="18"/>
              </w:rPr>
              <w:t>394,75</w:t>
            </w:r>
          </w:p>
        </w:tc>
        <w:tc>
          <w:tcPr>
            <w:tcW w:w="1860" w:type="dxa"/>
            <w:tcMar>
              <w:top w:w="0" w:type="dxa"/>
              <w:bottom w:w="0" w:type="dxa"/>
            </w:tcMar>
            <w:vAlign w:val="center"/>
          </w:tcPr>
          <w:p w:rsidR="00FF19F7" w:rsidRDefault="00B04BC2">
            <w:pPr>
              <w:keepNext/>
              <w:keepLines/>
              <w:spacing w:after="0" w:line="240" w:lineRule="auto"/>
              <w:jc w:val="right"/>
            </w:pPr>
            <w:r>
              <w:rPr>
                <w:sz w:val="18"/>
              </w:rPr>
              <w:t>0,00</w:t>
            </w:r>
          </w:p>
        </w:tc>
        <w:tc>
          <w:tcPr>
            <w:tcW w:w="700" w:type="dxa"/>
            <w:tcMar>
              <w:top w:w="0" w:type="dxa"/>
              <w:bottom w:w="0" w:type="dxa"/>
            </w:tcMar>
            <w:vAlign w:val="center"/>
          </w:tcPr>
          <w:p w:rsidR="00FF19F7" w:rsidRDefault="00B04BC2">
            <w:pPr>
              <w:keepNext/>
              <w:keepLines/>
              <w:spacing w:after="0" w:line="240" w:lineRule="auto"/>
              <w:jc w:val="right"/>
            </w:pPr>
            <w:r>
              <w:rPr>
                <w:sz w:val="18"/>
              </w:rPr>
              <w:t>0</w:t>
            </w:r>
          </w:p>
        </w:tc>
      </w:tr>
    </w:tbl>
    <w:p w:rsidR="00FF19F7" w:rsidRDefault="00FF19F7">
      <w:pPr>
        <w:spacing w:after="0"/>
      </w:pPr>
    </w:p>
    <w:p w:rsidR="00FF19F7" w:rsidRDefault="00B04BC2">
      <w:r>
        <w:t>Prihodi od prodaje proizvoda i robe u ovom izvještajnom razdoblju nisu ostvareni, budući da učenička zadruga nije organizirala prodaju svojih proizvoda uslijed ukidanja blagajničkog poslovanja.</w:t>
      </w:r>
    </w:p>
    <w:p w:rsidR="00FF19F7" w:rsidRDefault="00FF19F7"/>
    <w:p w:rsidR="00FF19F7" w:rsidRDefault="00B04BC2">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w:t>
            </w:r>
            <w:r>
              <w:rPr>
                <w:b/>
                <w:sz w:val="18"/>
              </w:rPr>
              <w:t xml:space="preserve"> izvještajnom razdoblju prethodne godine</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6615</w:t>
            </w:r>
          </w:p>
        </w:tc>
        <w:tc>
          <w:tcPr>
            <w:tcW w:w="3180" w:type="dxa"/>
            <w:tcMar>
              <w:top w:w="0" w:type="dxa"/>
              <w:bottom w:w="0" w:type="dxa"/>
            </w:tcMar>
            <w:vAlign w:val="center"/>
          </w:tcPr>
          <w:p w:rsidR="00FF19F7" w:rsidRDefault="00B04BC2">
            <w:pPr>
              <w:keepNext/>
              <w:keepLines/>
              <w:spacing w:after="0" w:line="240" w:lineRule="auto"/>
            </w:pPr>
            <w:r>
              <w:rPr>
                <w:sz w:val="18"/>
              </w:rPr>
              <w:t>Prihodi od pruženih usluga</w:t>
            </w:r>
          </w:p>
        </w:tc>
        <w:tc>
          <w:tcPr>
            <w:tcW w:w="700" w:type="dxa"/>
            <w:tcMar>
              <w:top w:w="0" w:type="dxa"/>
              <w:bottom w:w="0" w:type="dxa"/>
            </w:tcMar>
            <w:vAlign w:val="center"/>
          </w:tcPr>
          <w:p w:rsidR="00FF19F7" w:rsidRDefault="00B04BC2">
            <w:pPr>
              <w:keepNext/>
              <w:keepLines/>
              <w:spacing w:after="0" w:line="240" w:lineRule="auto"/>
            </w:pPr>
            <w:r>
              <w:rPr>
                <w:sz w:val="18"/>
              </w:rPr>
              <w:t>6615</w:t>
            </w:r>
          </w:p>
        </w:tc>
        <w:tc>
          <w:tcPr>
            <w:tcW w:w="1860" w:type="dxa"/>
            <w:tcMar>
              <w:top w:w="0" w:type="dxa"/>
              <w:bottom w:w="0" w:type="dxa"/>
            </w:tcMar>
            <w:vAlign w:val="center"/>
          </w:tcPr>
          <w:p w:rsidR="00FF19F7" w:rsidRDefault="00B04BC2">
            <w:pPr>
              <w:keepNext/>
              <w:keepLines/>
              <w:spacing w:after="0" w:line="240" w:lineRule="auto"/>
              <w:jc w:val="right"/>
            </w:pPr>
            <w:r>
              <w:rPr>
                <w:sz w:val="18"/>
              </w:rPr>
              <w:t>1.805,00</w:t>
            </w:r>
          </w:p>
        </w:tc>
        <w:tc>
          <w:tcPr>
            <w:tcW w:w="1860" w:type="dxa"/>
            <w:tcMar>
              <w:top w:w="0" w:type="dxa"/>
              <w:bottom w:w="0" w:type="dxa"/>
            </w:tcMar>
            <w:vAlign w:val="center"/>
          </w:tcPr>
          <w:p w:rsidR="00FF19F7" w:rsidRDefault="00B04BC2">
            <w:pPr>
              <w:keepNext/>
              <w:keepLines/>
              <w:spacing w:after="0" w:line="240" w:lineRule="auto"/>
              <w:jc w:val="right"/>
            </w:pPr>
            <w:r>
              <w:rPr>
                <w:sz w:val="18"/>
              </w:rPr>
              <w:t>2.410,00</w:t>
            </w:r>
          </w:p>
        </w:tc>
        <w:tc>
          <w:tcPr>
            <w:tcW w:w="700" w:type="dxa"/>
            <w:tcMar>
              <w:top w:w="0" w:type="dxa"/>
              <w:bottom w:w="0" w:type="dxa"/>
            </w:tcMar>
            <w:vAlign w:val="center"/>
          </w:tcPr>
          <w:p w:rsidR="00FF19F7" w:rsidRDefault="00B04BC2">
            <w:pPr>
              <w:keepNext/>
              <w:keepLines/>
              <w:spacing w:after="0" w:line="240" w:lineRule="auto"/>
              <w:jc w:val="right"/>
            </w:pPr>
            <w:r>
              <w:rPr>
                <w:sz w:val="18"/>
              </w:rPr>
              <w:t>133,5</w:t>
            </w:r>
          </w:p>
        </w:tc>
      </w:tr>
    </w:tbl>
    <w:p w:rsidR="00FF19F7" w:rsidRDefault="00FF19F7">
      <w:pPr>
        <w:spacing w:after="0"/>
      </w:pPr>
    </w:p>
    <w:p w:rsidR="00FF19F7" w:rsidRDefault="00B04BC2">
      <w:r>
        <w:t>Prihodi od pruženih usluga bilježe povećanje od 33,5 %, što je rezultat povećanja satnice najma učionice za izvođenje nastave stranog jezika. Povećanje je bilo potrebno zbog većeg broja upisanih učenika, zbog čega je nastava organizirana u dvije grupe.</w:t>
      </w:r>
    </w:p>
    <w:p w:rsidR="00FF19F7" w:rsidRDefault="00FF19F7"/>
    <w:p w:rsidR="00FF19F7" w:rsidRDefault="00B04BC2">
      <w:pPr>
        <w:keepNext/>
        <w:spacing w:line="240" w:lineRule="auto"/>
        <w:jc w:val="center"/>
      </w:pPr>
      <w:r>
        <w:rPr>
          <w:sz w:val="28"/>
        </w:rPr>
        <w:lastRenderedPageBreak/>
        <w:t>Bi</w:t>
      </w:r>
      <w:r>
        <w:rPr>
          <w:sz w:val="28"/>
        </w:rPr>
        <w:t>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663</w:t>
            </w:r>
          </w:p>
        </w:tc>
        <w:tc>
          <w:tcPr>
            <w:tcW w:w="3180" w:type="dxa"/>
            <w:tcMar>
              <w:top w:w="0" w:type="dxa"/>
              <w:bottom w:w="0" w:type="dxa"/>
            </w:tcMar>
            <w:vAlign w:val="center"/>
          </w:tcPr>
          <w:p w:rsidR="00FF19F7" w:rsidRDefault="00B04BC2">
            <w:pPr>
              <w:keepNext/>
              <w:keepLines/>
              <w:spacing w:after="0" w:line="240" w:lineRule="auto"/>
            </w:pPr>
            <w:r>
              <w:rPr>
                <w:sz w:val="18"/>
              </w:rPr>
              <w:t xml:space="preserve">Donacije od pravnih i fizičkih osoba izvan općeg proračuna te povrat donacija i kapitalnih </w:t>
            </w:r>
            <w:r>
              <w:rPr>
                <w:sz w:val="18"/>
              </w:rPr>
              <w:t>pomoći po protestiranim jamstvima (šifre 6631 do 6634)</w:t>
            </w:r>
          </w:p>
        </w:tc>
        <w:tc>
          <w:tcPr>
            <w:tcW w:w="700" w:type="dxa"/>
            <w:tcMar>
              <w:top w:w="0" w:type="dxa"/>
              <w:bottom w:w="0" w:type="dxa"/>
            </w:tcMar>
            <w:vAlign w:val="center"/>
          </w:tcPr>
          <w:p w:rsidR="00FF19F7" w:rsidRDefault="00B04BC2">
            <w:pPr>
              <w:keepNext/>
              <w:keepLines/>
              <w:spacing w:after="0" w:line="240" w:lineRule="auto"/>
            </w:pPr>
            <w:r>
              <w:rPr>
                <w:sz w:val="18"/>
              </w:rPr>
              <w:t>663</w:t>
            </w:r>
          </w:p>
        </w:tc>
        <w:tc>
          <w:tcPr>
            <w:tcW w:w="1860" w:type="dxa"/>
            <w:tcMar>
              <w:top w:w="0" w:type="dxa"/>
              <w:bottom w:w="0" w:type="dxa"/>
            </w:tcMar>
            <w:vAlign w:val="center"/>
          </w:tcPr>
          <w:p w:rsidR="00FF19F7" w:rsidRDefault="00B04BC2">
            <w:pPr>
              <w:keepNext/>
              <w:keepLines/>
              <w:spacing w:after="0" w:line="240" w:lineRule="auto"/>
              <w:jc w:val="right"/>
            </w:pPr>
            <w:r>
              <w:rPr>
                <w:sz w:val="18"/>
              </w:rPr>
              <w:t>1.023,65</w:t>
            </w:r>
          </w:p>
        </w:tc>
        <w:tc>
          <w:tcPr>
            <w:tcW w:w="1860" w:type="dxa"/>
            <w:tcMar>
              <w:top w:w="0" w:type="dxa"/>
              <w:bottom w:w="0" w:type="dxa"/>
            </w:tcMar>
            <w:vAlign w:val="center"/>
          </w:tcPr>
          <w:p w:rsidR="00FF19F7" w:rsidRDefault="00B04BC2">
            <w:pPr>
              <w:keepNext/>
              <w:keepLines/>
              <w:spacing w:after="0" w:line="240" w:lineRule="auto"/>
              <w:jc w:val="right"/>
            </w:pPr>
            <w:r>
              <w:rPr>
                <w:sz w:val="18"/>
              </w:rPr>
              <w:t>49,01</w:t>
            </w:r>
          </w:p>
        </w:tc>
        <w:tc>
          <w:tcPr>
            <w:tcW w:w="700" w:type="dxa"/>
            <w:tcMar>
              <w:top w:w="0" w:type="dxa"/>
              <w:bottom w:w="0" w:type="dxa"/>
            </w:tcMar>
            <w:vAlign w:val="center"/>
          </w:tcPr>
          <w:p w:rsidR="00FF19F7" w:rsidRDefault="00B04BC2">
            <w:pPr>
              <w:keepNext/>
              <w:keepLines/>
              <w:spacing w:after="0" w:line="240" w:lineRule="auto"/>
              <w:jc w:val="right"/>
            </w:pPr>
            <w:r>
              <w:rPr>
                <w:sz w:val="18"/>
              </w:rPr>
              <w:t>4,8</w:t>
            </w:r>
          </w:p>
        </w:tc>
      </w:tr>
    </w:tbl>
    <w:p w:rsidR="00FF19F7" w:rsidRDefault="00FF19F7">
      <w:pPr>
        <w:spacing w:after="0"/>
      </w:pPr>
    </w:p>
    <w:p w:rsidR="00FF19F7" w:rsidRDefault="00B04BC2">
      <w:r>
        <w:t>U ovom izvještajnom razdoblju ostvareno je manje donacija od pravnih i fizičkih osoba izvan općeg proračuna u odnosu na isto izvještajno razdoblje prethodne godine. Tijekom razdoblja zabilježene su donacije u iznosu od 40,00 eura za usisavač te 9,01 euro z</w:t>
      </w:r>
      <w:r>
        <w:t>a pravilno zbrinjavanje otpada (baterija).</w:t>
      </w:r>
    </w:p>
    <w:p w:rsidR="00FF19F7" w:rsidRDefault="00FF19F7"/>
    <w:p w:rsidR="00FF19F7" w:rsidRDefault="00B04BC2">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6712</w:t>
            </w:r>
          </w:p>
        </w:tc>
        <w:tc>
          <w:tcPr>
            <w:tcW w:w="3180" w:type="dxa"/>
            <w:tcMar>
              <w:top w:w="0" w:type="dxa"/>
              <w:bottom w:w="0" w:type="dxa"/>
            </w:tcMar>
            <w:vAlign w:val="center"/>
          </w:tcPr>
          <w:p w:rsidR="00FF19F7" w:rsidRDefault="00B04BC2">
            <w:pPr>
              <w:keepNext/>
              <w:keepLines/>
              <w:spacing w:after="0" w:line="240" w:lineRule="auto"/>
            </w:pPr>
            <w:r>
              <w:rPr>
                <w:sz w:val="18"/>
              </w:rPr>
              <w:t xml:space="preserve">Prihodi iz nadležnog proračuna za </w:t>
            </w:r>
            <w:r>
              <w:rPr>
                <w:sz w:val="18"/>
              </w:rPr>
              <w:t>financiranje rashoda za nabavu nefinancijske imovine</w:t>
            </w:r>
          </w:p>
        </w:tc>
        <w:tc>
          <w:tcPr>
            <w:tcW w:w="700" w:type="dxa"/>
            <w:tcMar>
              <w:top w:w="0" w:type="dxa"/>
              <w:bottom w:w="0" w:type="dxa"/>
            </w:tcMar>
            <w:vAlign w:val="center"/>
          </w:tcPr>
          <w:p w:rsidR="00FF19F7" w:rsidRDefault="00B04BC2">
            <w:pPr>
              <w:keepNext/>
              <w:keepLines/>
              <w:spacing w:after="0" w:line="240" w:lineRule="auto"/>
            </w:pPr>
            <w:r>
              <w:rPr>
                <w:sz w:val="18"/>
              </w:rPr>
              <w:t>6712</w:t>
            </w:r>
          </w:p>
        </w:tc>
        <w:tc>
          <w:tcPr>
            <w:tcW w:w="1860" w:type="dxa"/>
            <w:tcMar>
              <w:top w:w="0" w:type="dxa"/>
              <w:bottom w:w="0" w:type="dxa"/>
            </w:tcMar>
            <w:vAlign w:val="center"/>
          </w:tcPr>
          <w:p w:rsidR="00FF19F7" w:rsidRDefault="00B04BC2">
            <w:pPr>
              <w:keepNext/>
              <w:keepLines/>
              <w:spacing w:after="0" w:line="240" w:lineRule="auto"/>
              <w:jc w:val="right"/>
            </w:pPr>
            <w:r>
              <w:rPr>
                <w:sz w:val="18"/>
              </w:rPr>
              <w:t>13.190,70</w:t>
            </w:r>
          </w:p>
        </w:tc>
        <w:tc>
          <w:tcPr>
            <w:tcW w:w="1860" w:type="dxa"/>
            <w:tcMar>
              <w:top w:w="0" w:type="dxa"/>
              <w:bottom w:w="0" w:type="dxa"/>
            </w:tcMar>
            <w:vAlign w:val="center"/>
          </w:tcPr>
          <w:p w:rsidR="00FF19F7" w:rsidRDefault="00B04BC2">
            <w:pPr>
              <w:keepNext/>
              <w:keepLines/>
              <w:spacing w:after="0" w:line="240" w:lineRule="auto"/>
              <w:jc w:val="right"/>
            </w:pPr>
            <w:r>
              <w:rPr>
                <w:sz w:val="18"/>
              </w:rPr>
              <w:t>22.398,53</w:t>
            </w:r>
          </w:p>
        </w:tc>
        <w:tc>
          <w:tcPr>
            <w:tcW w:w="700" w:type="dxa"/>
            <w:tcMar>
              <w:top w:w="0" w:type="dxa"/>
              <w:bottom w:w="0" w:type="dxa"/>
            </w:tcMar>
            <w:vAlign w:val="center"/>
          </w:tcPr>
          <w:p w:rsidR="00FF19F7" w:rsidRDefault="00B04BC2">
            <w:pPr>
              <w:keepNext/>
              <w:keepLines/>
              <w:spacing w:after="0" w:line="240" w:lineRule="auto"/>
              <w:jc w:val="right"/>
            </w:pPr>
            <w:r>
              <w:rPr>
                <w:sz w:val="18"/>
              </w:rPr>
              <w:t>169,8</w:t>
            </w:r>
          </w:p>
        </w:tc>
      </w:tr>
    </w:tbl>
    <w:p w:rsidR="00FF19F7" w:rsidRDefault="00FF19F7">
      <w:pPr>
        <w:spacing w:after="0"/>
      </w:pPr>
    </w:p>
    <w:p w:rsidR="00FF19F7" w:rsidRDefault="00B04BC2">
      <w:r>
        <w:t>Prihodi iz nadležnog proračuna za financiranje rashoda za nabavu nefinancijske imovine ostvareni su u iznosu koji je 69,8 % veći u odnosu na isto izvještajno razdoblje prethodne godine. Povećanje je rezultat nabave računalne opreme i namještaja potrebnih z</w:t>
      </w:r>
      <w:r>
        <w:t>a opremanje informatičke učionice te učionice učenika prvog razreda.</w:t>
      </w:r>
    </w:p>
    <w:p w:rsidR="00FF19F7" w:rsidRDefault="00FF19F7"/>
    <w:p w:rsidR="00FF19F7" w:rsidRDefault="00B04BC2">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3113</w:t>
            </w:r>
          </w:p>
        </w:tc>
        <w:tc>
          <w:tcPr>
            <w:tcW w:w="3180" w:type="dxa"/>
            <w:tcMar>
              <w:top w:w="0" w:type="dxa"/>
              <w:bottom w:w="0" w:type="dxa"/>
            </w:tcMar>
            <w:vAlign w:val="center"/>
          </w:tcPr>
          <w:p w:rsidR="00FF19F7" w:rsidRDefault="00B04BC2">
            <w:pPr>
              <w:keepNext/>
              <w:keepLines/>
              <w:spacing w:after="0" w:line="240" w:lineRule="auto"/>
            </w:pPr>
            <w:r>
              <w:rPr>
                <w:sz w:val="18"/>
              </w:rPr>
              <w:t xml:space="preserve">Plaće za </w:t>
            </w:r>
            <w:r>
              <w:rPr>
                <w:sz w:val="18"/>
              </w:rPr>
              <w:t>prekovremeni rad</w:t>
            </w:r>
          </w:p>
        </w:tc>
        <w:tc>
          <w:tcPr>
            <w:tcW w:w="700" w:type="dxa"/>
            <w:tcMar>
              <w:top w:w="0" w:type="dxa"/>
              <w:bottom w:w="0" w:type="dxa"/>
            </w:tcMar>
            <w:vAlign w:val="center"/>
          </w:tcPr>
          <w:p w:rsidR="00FF19F7" w:rsidRDefault="00B04BC2">
            <w:pPr>
              <w:keepNext/>
              <w:keepLines/>
              <w:spacing w:after="0" w:line="240" w:lineRule="auto"/>
            </w:pPr>
            <w:r>
              <w:rPr>
                <w:sz w:val="18"/>
              </w:rPr>
              <w:t>3113</w:t>
            </w:r>
          </w:p>
        </w:tc>
        <w:tc>
          <w:tcPr>
            <w:tcW w:w="1860" w:type="dxa"/>
            <w:tcMar>
              <w:top w:w="0" w:type="dxa"/>
              <w:bottom w:w="0" w:type="dxa"/>
            </w:tcMar>
            <w:vAlign w:val="center"/>
          </w:tcPr>
          <w:p w:rsidR="00FF19F7" w:rsidRDefault="00B04BC2">
            <w:pPr>
              <w:keepNext/>
              <w:keepLines/>
              <w:spacing w:after="0" w:line="240" w:lineRule="auto"/>
              <w:jc w:val="right"/>
            </w:pPr>
            <w:r>
              <w:rPr>
                <w:sz w:val="18"/>
              </w:rPr>
              <w:t>4.407,40</w:t>
            </w:r>
          </w:p>
        </w:tc>
        <w:tc>
          <w:tcPr>
            <w:tcW w:w="1860" w:type="dxa"/>
            <w:tcMar>
              <w:top w:w="0" w:type="dxa"/>
              <w:bottom w:w="0" w:type="dxa"/>
            </w:tcMar>
            <w:vAlign w:val="center"/>
          </w:tcPr>
          <w:p w:rsidR="00FF19F7" w:rsidRDefault="00B04BC2">
            <w:pPr>
              <w:keepNext/>
              <w:keepLines/>
              <w:spacing w:after="0" w:line="240" w:lineRule="auto"/>
              <w:jc w:val="right"/>
            </w:pPr>
            <w:r>
              <w:rPr>
                <w:sz w:val="18"/>
              </w:rPr>
              <w:t>10.266,30</w:t>
            </w:r>
          </w:p>
        </w:tc>
        <w:tc>
          <w:tcPr>
            <w:tcW w:w="700" w:type="dxa"/>
            <w:tcMar>
              <w:top w:w="0" w:type="dxa"/>
              <w:bottom w:w="0" w:type="dxa"/>
            </w:tcMar>
            <w:vAlign w:val="center"/>
          </w:tcPr>
          <w:p w:rsidR="00FF19F7" w:rsidRDefault="00B04BC2">
            <w:pPr>
              <w:keepNext/>
              <w:keepLines/>
              <w:spacing w:after="0" w:line="240" w:lineRule="auto"/>
              <w:jc w:val="right"/>
            </w:pPr>
            <w:r>
              <w:rPr>
                <w:sz w:val="18"/>
              </w:rPr>
              <w:t>232,9</w:t>
            </w:r>
          </w:p>
        </w:tc>
      </w:tr>
    </w:tbl>
    <w:p w:rsidR="00FF19F7" w:rsidRDefault="00FF19F7">
      <w:pPr>
        <w:spacing w:after="0"/>
      </w:pPr>
    </w:p>
    <w:p w:rsidR="00FF19F7" w:rsidRDefault="00B04BC2">
      <w:r>
        <w:t>Plaće za prekovremeni rad u ovom izvještajnom razdoblju veće su za 132,9 % u odnosu na isto izvještajno razdoblje prethodne godine. Povećanje je posljedica većeg broja prekovremenih sati, koji su nastali zbog povećanog broja bolovanja i potrebnih zamjena.</w:t>
      </w:r>
    </w:p>
    <w:p w:rsidR="00FF19F7" w:rsidRDefault="00FF19F7"/>
    <w:p w:rsidR="00FF19F7" w:rsidRDefault="00B04BC2">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3224</w:t>
            </w:r>
          </w:p>
        </w:tc>
        <w:tc>
          <w:tcPr>
            <w:tcW w:w="3180" w:type="dxa"/>
            <w:tcMar>
              <w:top w:w="0" w:type="dxa"/>
              <w:bottom w:w="0" w:type="dxa"/>
            </w:tcMar>
            <w:vAlign w:val="center"/>
          </w:tcPr>
          <w:p w:rsidR="00FF19F7" w:rsidRDefault="00B04BC2">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rsidR="00FF19F7" w:rsidRDefault="00B04BC2">
            <w:pPr>
              <w:keepNext/>
              <w:keepLines/>
              <w:spacing w:after="0" w:line="240" w:lineRule="auto"/>
            </w:pPr>
            <w:r>
              <w:rPr>
                <w:sz w:val="18"/>
              </w:rPr>
              <w:t>3224</w:t>
            </w:r>
          </w:p>
        </w:tc>
        <w:tc>
          <w:tcPr>
            <w:tcW w:w="1860" w:type="dxa"/>
            <w:tcMar>
              <w:top w:w="0" w:type="dxa"/>
              <w:bottom w:w="0" w:type="dxa"/>
            </w:tcMar>
            <w:vAlign w:val="center"/>
          </w:tcPr>
          <w:p w:rsidR="00FF19F7" w:rsidRDefault="00B04BC2">
            <w:pPr>
              <w:keepNext/>
              <w:keepLines/>
              <w:spacing w:after="0" w:line="240" w:lineRule="auto"/>
              <w:jc w:val="right"/>
            </w:pPr>
            <w:r>
              <w:rPr>
                <w:sz w:val="18"/>
              </w:rPr>
              <w:t>685,96</w:t>
            </w:r>
          </w:p>
        </w:tc>
        <w:tc>
          <w:tcPr>
            <w:tcW w:w="1860" w:type="dxa"/>
            <w:tcMar>
              <w:top w:w="0" w:type="dxa"/>
              <w:bottom w:w="0" w:type="dxa"/>
            </w:tcMar>
            <w:vAlign w:val="center"/>
          </w:tcPr>
          <w:p w:rsidR="00FF19F7" w:rsidRDefault="00B04BC2">
            <w:pPr>
              <w:keepNext/>
              <w:keepLines/>
              <w:spacing w:after="0" w:line="240" w:lineRule="auto"/>
              <w:jc w:val="right"/>
            </w:pPr>
            <w:r>
              <w:rPr>
                <w:sz w:val="18"/>
              </w:rPr>
              <w:t>3.601,57</w:t>
            </w:r>
          </w:p>
        </w:tc>
        <w:tc>
          <w:tcPr>
            <w:tcW w:w="700" w:type="dxa"/>
            <w:tcMar>
              <w:top w:w="0" w:type="dxa"/>
              <w:bottom w:w="0" w:type="dxa"/>
            </w:tcMar>
            <w:vAlign w:val="center"/>
          </w:tcPr>
          <w:p w:rsidR="00FF19F7" w:rsidRDefault="00B04BC2">
            <w:pPr>
              <w:keepNext/>
              <w:keepLines/>
              <w:spacing w:after="0" w:line="240" w:lineRule="auto"/>
              <w:jc w:val="right"/>
            </w:pPr>
            <w:r>
              <w:rPr>
                <w:sz w:val="18"/>
              </w:rPr>
              <w:t>525,0</w:t>
            </w:r>
          </w:p>
        </w:tc>
      </w:tr>
    </w:tbl>
    <w:p w:rsidR="00FF19F7" w:rsidRDefault="00FF19F7">
      <w:pPr>
        <w:spacing w:after="0"/>
      </w:pPr>
    </w:p>
    <w:p w:rsidR="00FF19F7" w:rsidRDefault="00B04BC2">
      <w:r>
        <w:lastRenderedPageBreak/>
        <w:t>Rashodi za materijal i dijelove za tekuće i investicijsko održavanje veći su za 425% u odnosu na isto izvještajno razdoblje prethodne godine zbog većih aktivnosti ula</w:t>
      </w:r>
      <w:r>
        <w:t xml:space="preserve">ganja u postojeću opremu i školsku zgradu. Povećana potrošnja materijala rezultat je većeg </w:t>
      </w:r>
      <w:r>
        <w:t>obujma ra</w:t>
      </w:r>
      <w:r>
        <w:t>dova na učionic</w:t>
      </w:r>
      <w:r>
        <w:t>ama te zamjene zastarjele opreme kako bi se poboljšao proces izvođenja nastave. </w:t>
      </w:r>
    </w:p>
    <w:p w:rsidR="00FF19F7" w:rsidRDefault="00FF19F7"/>
    <w:p w:rsidR="00FF19F7" w:rsidRDefault="00B04BC2">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tekuće god</w:t>
            </w:r>
            <w:r>
              <w:rPr>
                <w:b/>
                <w:sz w:val="18"/>
              </w:rPr>
              <w:t>ine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3225</w:t>
            </w:r>
          </w:p>
        </w:tc>
        <w:tc>
          <w:tcPr>
            <w:tcW w:w="3180" w:type="dxa"/>
            <w:tcMar>
              <w:top w:w="0" w:type="dxa"/>
              <w:bottom w:w="0" w:type="dxa"/>
            </w:tcMar>
            <w:vAlign w:val="center"/>
          </w:tcPr>
          <w:p w:rsidR="00FF19F7" w:rsidRDefault="00B04BC2">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rsidR="00FF19F7" w:rsidRDefault="00B04BC2">
            <w:pPr>
              <w:keepNext/>
              <w:keepLines/>
              <w:spacing w:after="0" w:line="240" w:lineRule="auto"/>
            </w:pPr>
            <w:r>
              <w:rPr>
                <w:sz w:val="18"/>
              </w:rPr>
              <w:t>3225</w:t>
            </w:r>
          </w:p>
        </w:tc>
        <w:tc>
          <w:tcPr>
            <w:tcW w:w="1860" w:type="dxa"/>
            <w:tcMar>
              <w:top w:w="0" w:type="dxa"/>
              <w:bottom w:w="0" w:type="dxa"/>
            </w:tcMar>
            <w:vAlign w:val="center"/>
          </w:tcPr>
          <w:p w:rsidR="00FF19F7" w:rsidRDefault="00B04BC2">
            <w:pPr>
              <w:keepNext/>
              <w:keepLines/>
              <w:spacing w:after="0" w:line="240" w:lineRule="auto"/>
              <w:jc w:val="right"/>
            </w:pPr>
            <w:r>
              <w:rPr>
                <w:sz w:val="18"/>
              </w:rPr>
              <w:t>1.276,66</w:t>
            </w:r>
          </w:p>
        </w:tc>
        <w:tc>
          <w:tcPr>
            <w:tcW w:w="1860" w:type="dxa"/>
            <w:tcMar>
              <w:top w:w="0" w:type="dxa"/>
              <w:bottom w:w="0" w:type="dxa"/>
            </w:tcMar>
            <w:vAlign w:val="center"/>
          </w:tcPr>
          <w:p w:rsidR="00FF19F7" w:rsidRDefault="00B04BC2">
            <w:pPr>
              <w:keepNext/>
              <w:keepLines/>
              <w:spacing w:after="0" w:line="240" w:lineRule="auto"/>
              <w:jc w:val="right"/>
            </w:pPr>
            <w:r>
              <w:rPr>
                <w:sz w:val="18"/>
              </w:rPr>
              <w:t>2.674,88</w:t>
            </w:r>
          </w:p>
        </w:tc>
        <w:tc>
          <w:tcPr>
            <w:tcW w:w="700" w:type="dxa"/>
            <w:tcMar>
              <w:top w:w="0" w:type="dxa"/>
              <w:bottom w:w="0" w:type="dxa"/>
            </w:tcMar>
            <w:vAlign w:val="center"/>
          </w:tcPr>
          <w:p w:rsidR="00FF19F7" w:rsidRDefault="00B04BC2">
            <w:pPr>
              <w:keepNext/>
              <w:keepLines/>
              <w:spacing w:after="0" w:line="240" w:lineRule="auto"/>
              <w:jc w:val="right"/>
            </w:pPr>
            <w:r>
              <w:rPr>
                <w:sz w:val="18"/>
              </w:rPr>
              <w:t>209,5</w:t>
            </w:r>
          </w:p>
        </w:tc>
      </w:tr>
    </w:tbl>
    <w:p w:rsidR="00FF19F7" w:rsidRDefault="00FF19F7">
      <w:pPr>
        <w:spacing w:after="0"/>
      </w:pPr>
    </w:p>
    <w:p w:rsidR="00FF19F7" w:rsidRDefault="00B04BC2">
      <w:r>
        <w:t>Rashodi za sitni inventar bilježe povećanje od 109,5% u odnosu na prethodno razdoblje zbog opremanja knjižnice opremom potrebnom za izvođenje projekta "Čuvari riječi" te opremanje učionice u produženom boravku zbog većeg broja upisanih učenika u isti. </w:t>
      </w:r>
    </w:p>
    <w:p w:rsidR="00FF19F7" w:rsidRDefault="00FF19F7"/>
    <w:p w:rsidR="00FF19F7" w:rsidRDefault="00B04BC2">
      <w:pPr>
        <w:keepNext/>
        <w:spacing w:line="240" w:lineRule="auto"/>
        <w:jc w:val="center"/>
      </w:pPr>
      <w:r>
        <w:rPr>
          <w:sz w:val="28"/>
        </w:rPr>
        <w:t>Bi</w:t>
      </w:r>
      <w:r>
        <w:rPr>
          <w:sz w:val="28"/>
        </w:rPr>
        <w:t>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3233</w:t>
            </w:r>
          </w:p>
        </w:tc>
        <w:tc>
          <w:tcPr>
            <w:tcW w:w="3180" w:type="dxa"/>
            <w:tcMar>
              <w:top w:w="0" w:type="dxa"/>
              <w:bottom w:w="0" w:type="dxa"/>
            </w:tcMar>
            <w:vAlign w:val="center"/>
          </w:tcPr>
          <w:p w:rsidR="00FF19F7" w:rsidRDefault="00B04BC2">
            <w:pPr>
              <w:keepNext/>
              <w:keepLines/>
              <w:spacing w:after="0" w:line="240" w:lineRule="auto"/>
            </w:pPr>
            <w:r>
              <w:rPr>
                <w:sz w:val="18"/>
              </w:rPr>
              <w:t>Usluge promidžbe i informiranja</w:t>
            </w:r>
          </w:p>
        </w:tc>
        <w:tc>
          <w:tcPr>
            <w:tcW w:w="700" w:type="dxa"/>
            <w:tcMar>
              <w:top w:w="0" w:type="dxa"/>
              <w:bottom w:w="0" w:type="dxa"/>
            </w:tcMar>
            <w:vAlign w:val="center"/>
          </w:tcPr>
          <w:p w:rsidR="00FF19F7" w:rsidRDefault="00B04BC2">
            <w:pPr>
              <w:keepNext/>
              <w:keepLines/>
              <w:spacing w:after="0" w:line="240" w:lineRule="auto"/>
            </w:pPr>
            <w:r>
              <w:rPr>
                <w:sz w:val="18"/>
              </w:rPr>
              <w:t>3233</w:t>
            </w:r>
          </w:p>
        </w:tc>
        <w:tc>
          <w:tcPr>
            <w:tcW w:w="1860" w:type="dxa"/>
            <w:tcMar>
              <w:top w:w="0" w:type="dxa"/>
              <w:bottom w:w="0" w:type="dxa"/>
            </w:tcMar>
            <w:vAlign w:val="center"/>
          </w:tcPr>
          <w:p w:rsidR="00FF19F7" w:rsidRDefault="00B04BC2">
            <w:pPr>
              <w:keepNext/>
              <w:keepLines/>
              <w:spacing w:after="0" w:line="240" w:lineRule="auto"/>
              <w:jc w:val="right"/>
            </w:pPr>
            <w:r>
              <w:rPr>
                <w:sz w:val="18"/>
              </w:rPr>
              <w:t>166,25</w:t>
            </w:r>
          </w:p>
        </w:tc>
        <w:tc>
          <w:tcPr>
            <w:tcW w:w="1860" w:type="dxa"/>
            <w:tcMar>
              <w:top w:w="0" w:type="dxa"/>
              <w:bottom w:w="0" w:type="dxa"/>
            </w:tcMar>
            <w:vAlign w:val="center"/>
          </w:tcPr>
          <w:p w:rsidR="00FF19F7" w:rsidRDefault="00B04BC2">
            <w:pPr>
              <w:keepNext/>
              <w:keepLines/>
              <w:spacing w:after="0" w:line="240" w:lineRule="auto"/>
              <w:jc w:val="right"/>
            </w:pPr>
            <w:r>
              <w:rPr>
                <w:sz w:val="18"/>
              </w:rPr>
              <w:t>1.826,25</w:t>
            </w:r>
          </w:p>
        </w:tc>
        <w:tc>
          <w:tcPr>
            <w:tcW w:w="700" w:type="dxa"/>
            <w:tcMar>
              <w:top w:w="0" w:type="dxa"/>
              <w:bottom w:w="0" w:type="dxa"/>
            </w:tcMar>
            <w:vAlign w:val="center"/>
          </w:tcPr>
          <w:p w:rsidR="00FF19F7" w:rsidRDefault="00B04BC2">
            <w:pPr>
              <w:keepNext/>
              <w:keepLines/>
              <w:spacing w:after="0" w:line="240" w:lineRule="auto"/>
              <w:jc w:val="right"/>
            </w:pPr>
            <w:r>
              <w:rPr>
                <w:sz w:val="18"/>
              </w:rPr>
              <w:t>1098,5</w:t>
            </w:r>
          </w:p>
        </w:tc>
      </w:tr>
    </w:tbl>
    <w:p w:rsidR="00FF19F7" w:rsidRDefault="00FF19F7">
      <w:pPr>
        <w:spacing w:after="0"/>
      </w:pPr>
    </w:p>
    <w:p w:rsidR="00FF19F7" w:rsidRDefault="00B04BC2">
      <w:r>
        <w:t>Rashodi za usluge promidžbe i inform</w:t>
      </w:r>
      <w:r>
        <w:t>iranja bilježe značajnije povećanje u odnosu na isto izvještajno razdoblje prethodne godine zbog objave oglasa za natječaj ravnatelja u Narodnim novinama. </w:t>
      </w:r>
    </w:p>
    <w:p w:rsidR="00FF19F7" w:rsidRDefault="00FF19F7"/>
    <w:p w:rsidR="00FF19F7" w:rsidRDefault="00B04BC2">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w:t>
            </w:r>
            <w:r>
              <w:rPr>
                <w:b/>
                <w:sz w:val="18"/>
              </w:rPr>
              <w:t xml:space="preserve"> izvještajnom razdoblju prethodne godine</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3234</w:t>
            </w:r>
          </w:p>
        </w:tc>
        <w:tc>
          <w:tcPr>
            <w:tcW w:w="3180" w:type="dxa"/>
            <w:tcMar>
              <w:top w:w="0" w:type="dxa"/>
              <w:bottom w:w="0" w:type="dxa"/>
            </w:tcMar>
            <w:vAlign w:val="center"/>
          </w:tcPr>
          <w:p w:rsidR="00FF19F7" w:rsidRDefault="00B04BC2">
            <w:pPr>
              <w:keepNext/>
              <w:keepLines/>
              <w:spacing w:after="0" w:line="240" w:lineRule="auto"/>
            </w:pPr>
            <w:r>
              <w:rPr>
                <w:sz w:val="18"/>
              </w:rPr>
              <w:t>Komunalne usluge</w:t>
            </w:r>
          </w:p>
        </w:tc>
        <w:tc>
          <w:tcPr>
            <w:tcW w:w="700" w:type="dxa"/>
            <w:tcMar>
              <w:top w:w="0" w:type="dxa"/>
              <w:bottom w:w="0" w:type="dxa"/>
            </w:tcMar>
            <w:vAlign w:val="center"/>
          </w:tcPr>
          <w:p w:rsidR="00FF19F7" w:rsidRDefault="00B04BC2">
            <w:pPr>
              <w:keepNext/>
              <w:keepLines/>
              <w:spacing w:after="0" w:line="240" w:lineRule="auto"/>
            </w:pPr>
            <w:r>
              <w:rPr>
                <w:sz w:val="18"/>
              </w:rPr>
              <w:t>3234</w:t>
            </w:r>
          </w:p>
        </w:tc>
        <w:tc>
          <w:tcPr>
            <w:tcW w:w="1860" w:type="dxa"/>
            <w:tcMar>
              <w:top w:w="0" w:type="dxa"/>
              <w:bottom w:w="0" w:type="dxa"/>
            </w:tcMar>
            <w:vAlign w:val="center"/>
          </w:tcPr>
          <w:p w:rsidR="00FF19F7" w:rsidRDefault="00B04BC2">
            <w:pPr>
              <w:keepNext/>
              <w:keepLines/>
              <w:spacing w:after="0" w:line="240" w:lineRule="auto"/>
              <w:jc w:val="right"/>
            </w:pPr>
            <w:r>
              <w:rPr>
                <w:sz w:val="18"/>
              </w:rPr>
              <w:t>2.297,18</w:t>
            </w:r>
          </w:p>
        </w:tc>
        <w:tc>
          <w:tcPr>
            <w:tcW w:w="1860" w:type="dxa"/>
            <w:tcMar>
              <w:top w:w="0" w:type="dxa"/>
              <w:bottom w:w="0" w:type="dxa"/>
            </w:tcMar>
            <w:vAlign w:val="center"/>
          </w:tcPr>
          <w:p w:rsidR="00FF19F7" w:rsidRDefault="00B04BC2">
            <w:pPr>
              <w:keepNext/>
              <w:keepLines/>
              <w:spacing w:after="0" w:line="240" w:lineRule="auto"/>
              <w:jc w:val="right"/>
            </w:pPr>
            <w:r>
              <w:rPr>
                <w:sz w:val="18"/>
              </w:rPr>
              <w:t>4.352,78</w:t>
            </w:r>
          </w:p>
        </w:tc>
        <w:tc>
          <w:tcPr>
            <w:tcW w:w="700" w:type="dxa"/>
            <w:tcMar>
              <w:top w:w="0" w:type="dxa"/>
              <w:bottom w:w="0" w:type="dxa"/>
            </w:tcMar>
            <w:vAlign w:val="center"/>
          </w:tcPr>
          <w:p w:rsidR="00FF19F7" w:rsidRDefault="00B04BC2">
            <w:pPr>
              <w:keepNext/>
              <w:keepLines/>
              <w:spacing w:after="0" w:line="240" w:lineRule="auto"/>
              <w:jc w:val="right"/>
            </w:pPr>
            <w:r>
              <w:rPr>
                <w:sz w:val="18"/>
              </w:rPr>
              <w:t>189,5</w:t>
            </w:r>
          </w:p>
        </w:tc>
      </w:tr>
    </w:tbl>
    <w:p w:rsidR="00FF19F7" w:rsidRDefault="00FF19F7">
      <w:pPr>
        <w:spacing w:after="0"/>
      </w:pPr>
    </w:p>
    <w:p w:rsidR="00FF19F7" w:rsidRDefault="00B04BC2">
      <w:r>
        <w:t>Rashodi za komunalne usluge bilježe povećanje od 89,5% u odnosu na prethodno razdoblje zbog troškova usluge zbrinjavanja glomaznog otpada. </w:t>
      </w:r>
    </w:p>
    <w:p w:rsidR="00FF19F7" w:rsidRDefault="00FF19F7"/>
    <w:p w:rsidR="00FF19F7" w:rsidRDefault="00B04BC2">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3238</w:t>
            </w:r>
          </w:p>
        </w:tc>
        <w:tc>
          <w:tcPr>
            <w:tcW w:w="3180" w:type="dxa"/>
            <w:tcMar>
              <w:top w:w="0" w:type="dxa"/>
              <w:bottom w:w="0" w:type="dxa"/>
            </w:tcMar>
            <w:vAlign w:val="center"/>
          </w:tcPr>
          <w:p w:rsidR="00FF19F7" w:rsidRDefault="00B04BC2">
            <w:pPr>
              <w:keepNext/>
              <w:keepLines/>
              <w:spacing w:after="0" w:line="240" w:lineRule="auto"/>
            </w:pPr>
            <w:r>
              <w:rPr>
                <w:sz w:val="18"/>
              </w:rPr>
              <w:t>Računalne usluge</w:t>
            </w:r>
          </w:p>
        </w:tc>
        <w:tc>
          <w:tcPr>
            <w:tcW w:w="700" w:type="dxa"/>
            <w:tcMar>
              <w:top w:w="0" w:type="dxa"/>
              <w:bottom w:w="0" w:type="dxa"/>
            </w:tcMar>
            <w:vAlign w:val="center"/>
          </w:tcPr>
          <w:p w:rsidR="00FF19F7" w:rsidRDefault="00B04BC2">
            <w:pPr>
              <w:keepNext/>
              <w:keepLines/>
              <w:spacing w:after="0" w:line="240" w:lineRule="auto"/>
            </w:pPr>
            <w:r>
              <w:rPr>
                <w:sz w:val="18"/>
              </w:rPr>
              <w:t>3238</w:t>
            </w:r>
          </w:p>
        </w:tc>
        <w:tc>
          <w:tcPr>
            <w:tcW w:w="1860" w:type="dxa"/>
            <w:tcMar>
              <w:top w:w="0" w:type="dxa"/>
              <w:bottom w:w="0" w:type="dxa"/>
            </w:tcMar>
            <w:vAlign w:val="center"/>
          </w:tcPr>
          <w:p w:rsidR="00FF19F7" w:rsidRDefault="00B04BC2">
            <w:pPr>
              <w:keepNext/>
              <w:keepLines/>
              <w:spacing w:after="0" w:line="240" w:lineRule="auto"/>
              <w:jc w:val="right"/>
            </w:pPr>
            <w:r>
              <w:rPr>
                <w:sz w:val="18"/>
              </w:rPr>
              <w:t>895,54</w:t>
            </w:r>
          </w:p>
        </w:tc>
        <w:tc>
          <w:tcPr>
            <w:tcW w:w="1860" w:type="dxa"/>
            <w:tcMar>
              <w:top w:w="0" w:type="dxa"/>
              <w:bottom w:w="0" w:type="dxa"/>
            </w:tcMar>
            <w:vAlign w:val="center"/>
          </w:tcPr>
          <w:p w:rsidR="00FF19F7" w:rsidRDefault="00B04BC2">
            <w:pPr>
              <w:keepNext/>
              <w:keepLines/>
              <w:spacing w:after="0" w:line="240" w:lineRule="auto"/>
              <w:jc w:val="right"/>
            </w:pPr>
            <w:r>
              <w:rPr>
                <w:sz w:val="18"/>
              </w:rPr>
              <w:t>2.385,43</w:t>
            </w:r>
          </w:p>
        </w:tc>
        <w:tc>
          <w:tcPr>
            <w:tcW w:w="700" w:type="dxa"/>
            <w:tcMar>
              <w:top w:w="0" w:type="dxa"/>
              <w:bottom w:w="0" w:type="dxa"/>
            </w:tcMar>
            <w:vAlign w:val="center"/>
          </w:tcPr>
          <w:p w:rsidR="00FF19F7" w:rsidRDefault="00B04BC2">
            <w:pPr>
              <w:keepNext/>
              <w:keepLines/>
              <w:spacing w:after="0" w:line="240" w:lineRule="auto"/>
              <w:jc w:val="right"/>
            </w:pPr>
            <w:r>
              <w:rPr>
                <w:sz w:val="18"/>
              </w:rPr>
              <w:t>266,4</w:t>
            </w:r>
          </w:p>
        </w:tc>
      </w:tr>
    </w:tbl>
    <w:p w:rsidR="00FF19F7" w:rsidRDefault="00FF19F7">
      <w:pPr>
        <w:spacing w:after="0"/>
      </w:pPr>
    </w:p>
    <w:p w:rsidR="00FF19F7" w:rsidRDefault="00B04BC2">
      <w:r>
        <w:t>Rashodi za računalne usluge bilježe povećanje od 166,4% u odnosu na prethodno razdoblje zbog ažuriranja programa sigurnosnih kamera, postavljanje i programiranje pametnih ploča u učionicama. </w:t>
      </w:r>
    </w:p>
    <w:p w:rsidR="00FF19F7" w:rsidRDefault="00FF19F7"/>
    <w:p w:rsidR="00FF19F7" w:rsidRDefault="00B04BC2">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3293</w:t>
            </w:r>
          </w:p>
        </w:tc>
        <w:tc>
          <w:tcPr>
            <w:tcW w:w="3180" w:type="dxa"/>
            <w:tcMar>
              <w:top w:w="0" w:type="dxa"/>
              <w:bottom w:w="0" w:type="dxa"/>
            </w:tcMar>
            <w:vAlign w:val="center"/>
          </w:tcPr>
          <w:p w:rsidR="00FF19F7" w:rsidRDefault="00B04BC2">
            <w:pPr>
              <w:keepNext/>
              <w:keepLines/>
              <w:spacing w:after="0" w:line="240" w:lineRule="auto"/>
            </w:pPr>
            <w:r>
              <w:rPr>
                <w:sz w:val="18"/>
              </w:rPr>
              <w:t>Reprezentacija</w:t>
            </w:r>
          </w:p>
        </w:tc>
        <w:tc>
          <w:tcPr>
            <w:tcW w:w="700" w:type="dxa"/>
            <w:tcMar>
              <w:top w:w="0" w:type="dxa"/>
              <w:bottom w:w="0" w:type="dxa"/>
            </w:tcMar>
            <w:vAlign w:val="center"/>
          </w:tcPr>
          <w:p w:rsidR="00FF19F7" w:rsidRDefault="00B04BC2">
            <w:pPr>
              <w:keepNext/>
              <w:keepLines/>
              <w:spacing w:after="0" w:line="240" w:lineRule="auto"/>
            </w:pPr>
            <w:r>
              <w:rPr>
                <w:sz w:val="18"/>
              </w:rPr>
              <w:t>3293</w:t>
            </w:r>
          </w:p>
        </w:tc>
        <w:tc>
          <w:tcPr>
            <w:tcW w:w="1860" w:type="dxa"/>
            <w:tcMar>
              <w:top w:w="0" w:type="dxa"/>
              <w:bottom w:w="0" w:type="dxa"/>
            </w:tcMar>
            <w:vAlign w:val="center"/>
          </w:tcPr>
          <w:p w:rsidR="00FF19F7" w:rsidRDefault="00B04BC2">
            <w:pPr>
              <w:keepNext/>
              <w:keepLines/>
              <w:spacing w:after="0" w:line="240" w:lineRule="auto"/>
              <w:jc w:val="right"/>
            </w:pPr>
            <w:r>
              <w:rPr>
                <w:sz w:val="18"/>
              </w:rPr>
              <w:t>334,80</w:t>
            </w:r>
          </w:p>
        </w:tc>
        <w:tc>
          <w:tcPr>
            <w:tcW w:w="1860" w:type="dxa"/>
            <w:tcMar>
              <w:top w:w="0" w:type="dxa"/>
              <w:bottom w:w="0" w:type="dxa"/>
            </w:tcMar>
            <w:vAlign w:val="center"/>
          </w:tcPr>
          <w:p w:rsidR="00FF19F7" w:rsidRDefault="00B04BC2">
            <w:pPr>
              <w:keepNext/>
              <w:keepLines/>
              <w:spacing w:after="0" w:line="240" w:lineRule="auto"/>
              <w:jc w:val="right"/>
            </w:pPr>
            <w:r>
              <w:rPr>
                <w:sz w:val="18"/>
              </w:rPr>
              <w:t>706,43</w:t>
            </w:r>
          </w:p>
        </w:tc>
        <w:tc>
          <w:tcPr>
            <w:tcW w:w="700" w:type="dxa"/>
            <w:tcMar>
              <w:top w:w="0" w:type="dxa"/>
              <w:bottom w:w="0" w:type="dxa"/>
            </w:tcMar>
            <w:vAlign w:val="center"/>
          </w:tcPr>
          <w:p w:rsidR="00FF19F7" w:rsidRDefault="00B04BC2">
            <w:pPr>
              <w:keepNext/>
              <w:keepLines/>
              <w:spacing w:after="0" w:line="240" w:lineRule="auto"/>
              <w:jc w:val="right"/>
            </w:pPr>
            <w:r>
              <w:rPr>
                <w:sz w:val="18"/>
              </w:rPr>
              <w:t>211,0</w:t>
            </w:r>
          </w:p>
        </w:tc>
      </w:tr>
    </w:tbl>
    <w:p w:rsidR="00FF19F7" w:rsidRDefault="00FF19F7">
      <w:pPr>
        <w:spacing w:after="0"/>
      </w:pPr>
    </w:p>
    <w:p w:rsidR="00FF19F7" w:rsidRDefault="00B04BC2">
      <w:r>
        <w:t>U ovom izvještajnom razdoblju zabilježeno je povećanje troškova reprezentacije, što je posljedica održavanja županijskog natjecanja iz engleskog jezika u prostorijama škole.</w:t>
      </w:r>
    </w:p>
    <w:p w:rsidR="00FF19F7" w:rsidRDefault="00FF19F7"/>
    <w:p w:rsidR="00FF19F7" w:rsidRDefault="00B04BC2">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3295</w:t>
            </w:r>
          </w:p>
        </w:tc>
        <w:tc>
          <w:tcPr>
            <w:tcW w:w="3180" w:type="dxa"/>
            <w:tcMar>
              <w:top w:w="0" w:type="dxa"/>
              <w:bottom w:w="0" w:type="dxa"/>
            </w:tcMar>
            <w:vAlign w:val="center"/>
          </w:tcPr>
          <w:p w:rsidR="00FF19F7" w:rsidRDefault="00B04BC2">
            <w:pPr>
              <w:keepNext/>
              <w:keepLines/>
              <w:spacing w:after="0" w:line="240" w:lineRule="auto"/>
            </w:pPr>
            <w:r>
              <w:rPr>
                <w:sz w:val="18"/>
              </w:rPr>
              <w:t>Pristojbe i naknade</w:t>
            </w:r>
          </w:p>
        </w:tc>
        <w:tc>
          <w:tcPr>
            <w:tcW w:w="700" w:type="dxa"/>
            <w:tcMar>
              <w:top w:w="0" w:type="dxa"/>
              <w:bottom w:w="0" w:type="dxa"/>
            </w:tcMar>
            <w:vAlign w:val="center"/>
          </w:tcPr>
          <w:p w:rsidR="00FF19F7" w:rsidRDefault="00B04BC2">
            <w:pPr>
              <w:keepNext/>
              <w:keepLines/>
              <w:spacing w:after="0" w:line="240" w:lineRule="auto"/>
            </w:pPr>
            <w:r>
              <w:rPr>
                <w:sz w:val="18"/>
              </w:rPr>
              <w:t>3295</w:t>
            </w:r>
          </w:p>
        </w:tc>
        <w:tc>
          <w:tcPr>
            <w:tcW w:w="1860" w:type="dxa"/>
            <w:tcMar>
              <w:top w:w="0" w:type="dxa"/>
              <w:bottom w:w="0" w:type="dxa"/>
            </w:tcMar>
            <w:vAlign w:val="center"/>
          </w:tcPr>
          <w:p w:rsidR="00FF19F7" w:rsidRDefault="00B04BC2">
            <w:pPr>
              <w:keepNext/>
              <w:keepLines/>
              <w:spacing w:after="0" w:line="240" w:lineRule="auto"/>
              <w:jc w:val="right"/>
            </w:pPr>
            <w:r>
              <w:rPr>
                <w:sz w:val="18"/>
              </w:rPr>
              <w:t>332,18</w:t>
            </w:r>
          </w:p>
        </w:tc>
        <w:tc>
          <w:tcPr>
            <w:tcW w:w="1860" w:type="dxa"/>
            <w:tcMar>
              <w:top w:w="0" w:type="dxa"/>
              <w:bottom w:w="0" w:type="dxa"/>
            </w:tcMar>
            <w:vAlign w:val="center"/>
          </w:tcPr>
          <w:p w:rsidR="00FF19F7" w:rsidRDefault="00B04BC2">
            <w:pPr>
              <w:keepNext/>
              <w:keepLines/>
              <w:spacing w:after="0" w:line="240" w:lineRule="auto"/>
              <w:jc w:val="right"/>
            </w:pPr>
            <w:r>
              <w:rPr>
                <w:sz w:val="18"/>
              </w:rPr>
              <w:t>490,08</w:t>
            </w:r>
          </w:p>
        </w:tc>
        <w:tc>
          <w:tcPr>
            <w:tcW w:w="700" w:type="dxa"/>
            <w:tcMar>
              <w:top w:w="0" w:type="dxa"/>
              <w:bottom w:w="0" w:type="dxa"/>
            </w:tcMar>
            <w:vAlign w:val="center"/>
          </w:tcPr>
          <w:p w:rsidR="00FF19F7" w:rsidRDefault="00B04BC2">
            <w:pPr>
              <w:keepNext/>
              <w:keepLines/>
              <w:spacing w:after="0" w:line="240" w:lineRule="auto"/>
              <w:jc w:val="right"/>
            </w:pPr>
            <w:r>
              <w:rPr>
                <w:sz w:val="18"/>
              </w:rPr>
              <w:t>147,5</w:t>
            </w:r>
          </w:p>
        </w:tc>
      </w:tr>
    </w:tbl>
    <w:p w:rsidR="00FF19F7" w:rsidRDefault="00FF19F7">
      <w:pPr>
        <w:spacing w:after="0"/>
      </w:pPr>
    </w:p>
    <w:p w:rsidR="00FF19F7" w:rsidRDefault="00B04BC2">
      <w:r>
        <w:t>Rashodi za pristojbe i naknade bilježe povećanje od 47,5% u odnosu na prethodno razdoblje zbog troškova javnobilježničkih i sudskih pristojbi (prijava ravnatelja za upis u registar, izjava ravnatelja).</w:t>
      </w:r>
    </w:p>
    <w:p w:rsidR="00FF19F7" w:rsidRDefault="00FF19F7"/>
    <w:p w:rsidR="00FF19F7" w:rsidRDefault="00B04BC2">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w:t>
            </w:r>
            <w:r>
              <w:rPr>
                <w:b/>
                <w:sz w:val="18"/>
              </w:rPr>
              <w:t>tvareno u izvještajnom razdoblju prethodne godine</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37</w:t>
            </w:r>
          </w:p>
        </w:tc>
        <w:tc>
          <w:tcPr>
            <w:tcW w:w="3180" w:type="dxa"/>
            <w:tcMar>
              <w:top w:w="0" w:type="dxa"/>
              <w:bottom w:w="0" w:type="dxa"/>
            </w:tcMar>
            <w:vAlign w:val="center"/>
          </w:tcPr>
          <w:p w:rsidR="00FF19F7" w:rsidRDefault="00B04BC2">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rsidR="00FF19F7" w:rsidRDefault="00B04BC2">
            <w:pPr>
              <w:keepNext/>
              <w:keepLines/>
              <w:spacing w:after="0" w:line="240" w:lineRule="auto"/>
            </w:pPr>
            <w:r>
              <w:rPr>
                <w:sz w:val="18"/>
              </w:rPr>
              <w:t>37</w:t>
            </w:r>
          </w:p>
        </w:tc>
        <w:tc>
          <w:tcPr>
            <w:tcW w:w="1860" w:type="dxa"/>
            <w:tcMar>
              <w:top w:w="0" w:type="dxa"/>
              <w:bottom w:w="0" w:type="dxa"/>
            </w:tcMar>
            <w:vAlign w:val="center"/>
          </w:tcPr>
          <w:p w:rsidR="00FF19F7" w:rsidRDefault="00B04BC2">
            <w:pPr>
              <w:keepNext/>
              <w:keepLines/>
              <w:spacing w:after="0" w:line="240" w:lineRule="auto"/>
              <w:jc w:val="right"/>
            </w:pPr>
            <w:r>
              <w:rPr>
                <w:sz w:val="18"/>
              </w:rPr>
              <w:t>3.180,10</w:t>
            </w:r>
          </w:p>
        </w:tc>
        <w:tc>
          <w:tcPr>
            <w:tcW w:w="1860" w:type="dxa"/>
            <w:tcMar>
              <w:top w:w="0" w:type="dxa"/>
              <w:bottom w:w="0" w:type="dxa"/>
            </w:tcMar>
            <w:vAlign w:val="center"/>
          </w:tcPr>
          <w:p w:rsidR="00FF19F7" w:rsidRDefault="00B04BC2">
            <w:pPr>
              <w:keepNext/>
              <w:keepLines/>
              <w:spacing w:after="0" w:line="240" w:lineRule="auto"/>
              <w:jc w:val="right"/>
            </w:pPr>
            <w:r>
              <w:rPr>
                <w:sz w:val="18"/>
              </w:rPr>
              <w:t>5.028,51</w:t>
            </w:r>
          </w:p>
        </w:tc>
        <w:tc>
          <w:tcPr>
            <w:tcW w:w="700" w:type="dxa"/>
            <w:tcMar>
              <w:top w:w="0" w:type="dxa"/>
              <w:bottom w:w="0" w:type="dxa"/>
            </w:tcMar>
            <w:vAlign w:val="center"/>
          </w:tcPr>
          <w:p w:rsidR="00FF19F7" w:rsidRDefault="00B04BC2">
            <w:pPr>
              <w:keepNext/>
              <w:keepLines/>
              <w:spacing w:after="0" w:line="240" w:lineRule="auto"/>
              <w:jc w:val="right"/>
            </w:pPr>
            <w:r>
              <w:rPr>
                <w:sz w:val="18"/>
              </w:rPr>
              <w:t>158,1</w:t>
            </w:r>
          </w:p>
        </w:tc>
      </w:tr>
    </w:tbl>
    <w:p w:rsidR="00FF19F7" w:rsidRDefault="00FF19F7">
      <w:pPr>
        <w:spacing w:after="0"/>
      </w:pPr>
    </w:p>
    <w:p w:rsidR="00FF19F7" w:rsidRDefault="00B04BC2">
      <w:r>
        <w:t>Rashodi za naknade građanima i kućanstvima na temelju osiguranja i druge naknade bilježe povećanje od 58,1% u odnosu na prethodno razdoblje zbog veće nabave radnih udžbenika za učenike nižih razreda.</w:t>
      </w:r>
    </w:p>
    <w:p w:rsidR="00FF19F7" w:rsidRDefault="00FF19F7"/>
    <w:p w:rsidR="00FF19F7" w:rsidRDefault="00B04BC2">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w:t>
            </w:r>
            <w:r>
              <w:rPr>
                <w:b/>
                <w:sz w:val="18"/>
              </w:rPr>
              <w:t>areno u izvještajnom razdoblju prethodne godine</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96</w:t>
            </w:r>
          </w:p>
        </w:tc>
        <w:tc>
          <w:tcPr>
            <w:tcW w:w="3180" w:type="dxa"/>
            <w:tcMar>
              <w:top w:w="0" w:type="dxa"/>
              <w:bottom w:w="0" w:type="dxa"/>
            </w:tcMar>
            <w:vAlign w:val="center"/>
          </w:tcPr>
          <w:p w:rsidR="00FF19F7" w:rsidRDefault="00B04BC2">
            <w:pPr>
              <w:keepNext/>
              <w:keepLines/>
              <w:spacing w:after="0" w:line="240" w:lineRule="auto"/>
            </w:pPr>
            <w:r>
              <w:rPr>
                <w:sz w:val="18"/>
              </w:rPr>
              <w:t>Obračunati prihodi poslovanja - nenaplaćeni</w:t>
            </w:r>
          </w:p>
        </w:tc>
        <w:tc>
          <w:tcPr>
            <w:tcW w:w="700" w:type="dxa"/>
            <w:tcMar>
              <w:top w:w="0" w:type="dxa"/>
              <w:bottom w:w="0" w:type="dxa"/>
            </w:tcMar>
            <w:vAlign w:val="center"/>
          </w:tcPr>
          <w:p w:rsidR="00FF19F7" w:rsidRDefault="00B04BC2">
            <w:pPr>
              <w:keepNext/>
              <w:keepLines/>
              <w:spacing w:after="0" w:line="240" w:lineRule="auto"/>
            </w:pPr>
            <w:r>
              <w:rPr>
                <w:sz w:val="18"/>
              </w:rPr>
              <w:t>96</w:t>
            </w:r>
          </w:p>
        </w:tc>
        <w:tc>
          <w:tcPr>
            <w:tcW w:w="1860" w:type="dxa"/>
            <w:tcMar>
              <w:top w:w="0" w:type="dxa"/>
              <w:bottom w:w="0" w:type="dxa"/>
            </w:tcMar>
            <w:vAlign w:val="center"/>
          </w:tcPr>
          <w:p w:rsidR="00FF19F7" w:rsidRDefault="00B04BC2">
            <w:pPr>
              <w:keepNext/>
              <w:keepLines/>
              <w:spacing w:after="0" w:line="240" w:lineRule="auto"/>
              <w:jc w:val="right"/>
            </w:pPr>
            <w:r>
              <w:rPr>
                <w:sz w:val="18"/>
              </w:rPr>
              <w:t>1.733,95</w:t>
            </w:r>
          </w:p>
        </w:tc>
        <w:tc>
          <w:tcPr>
            <w:tcW w:w="1860" w:type="dxa"/>
            <w:tcMar>
              <w:top w:w="0" w:type="dxa"/>
              <w:bottom w:w="0" w:type="dxa"/>
            </w:tcMar>
            <w:vAlign w:val="center"/>
          </w:tcPr>
          <w:p w:rsidR="00FF19F7" w:rsidRDefault="00B04BC2">
            <w:pPr>
              <w:keepNext/>
              <w:keepLines/>
              <w:spacing w:after="0" w:line="240" w:lineRule="auto"/>
              <w:jc w:val="right"/>
            </w:pPr>
            <w:r>
              <w:rPr>
                <w:sz w:val="18"/>
              </w:rPr>
              <w:t>58.441,08</w:t>
            </w:r>
          </w:p>
        </w:tc>
        <w:tc>
          <w:tcPr>
            <w:tcW w:w="700" w:type="dxa"/>
            <w:tcMar>
              <w:top w:w="0" w:type="dxa"/>
              <w:bottom w:w="0" w:type="dxa"/>
            </w:tcMar>
            <w:vAlign w:val="center"/>
          </w:tcPr>
          <w:p w:rsidR="00FF19F7" w:rsidRDefault="00B04BC2">
            <w:pPr>
              <w:keepNext/>
              <w:keepLines/>
              <w:spacing w:after="0" w:line="240" w:lineRule="auto"/>
              <w:jc w:val="right"/>
            </w:pPr>
            <w:r>
              <w:rPr>
                <w:sz w:val="18"/>
              </w:rPr>
              <w:t>3370,4</w:t>
            </w:r>
          </w:p>
        </w:tc>
      </w:tr>
    </w:tbl>
    <w:p w:rsidR="00FF19F7" w:rsidRDefault="00FF19F7">
      <w:pPr>
        <w:spacing w:after="0"/>
      </w:pPr>
    </w:p>
    <w:p w:rsidR="00FF19F7" w:rsidRDefault="00B04BC2">
      <w:r>
        <w:t>Obračunati prihodi poslovanja - nenaplaćeni bilježe povećanje u ovom izvještajnom razdoblju zbog novog načina evidentiranja prihoda za pokriće rashoda za zaposlene.</w:t>
      </w:r>
    </w:p>
    <w:p w:rsidR="00FF19F7" w:rsidRDefault="00FF19F7"/>
    <w:p w:rsidR="00FF19F7" w:rsidRDefault="00B04BC2">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pret</w:t>
            </w:r>
            <w:r>
              <w:rPr>
                <w:b/>
                <w:sz w:val="18"/>
              </w:rPr>
              <w:t>hodne godine</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9661</w:t>
            </w:r>
          </w:p>
        </w:tc>
        <w:tc>
          <w:tcPr>
            <w:tcW w:w="3180" w:type="dxa"/>
            <w:tcMar>
              <w:top w:w="0" w:type="dxa"/>
              <w:bottom w:w="0" w:type="dxa"/>
            </w:tcMar>
            <w:vAlign w:val="center"/>
          </w:tcPr>
          <w:p w:rsidR="00FF19F7" w:rsidRDefault="00B04BC2">
            <w:pPr>
              <w:keepNext/>
              <w:keepLines/>
              <w:spacing w:after="0" w:line="240" w:lineRule="auto"/>
            </w:pPr>
            <w:r>
              <w:rPr>
                <w:sz w:val="18"/>
              </w:rPr>
              <w:t>Prihodi od prodaje proizvoda i robe i pruženih usluga - nenaplaćeni</w:t>
            </w:r>
          </w:p>
        </w:tc>
        <w:tc>
          <w:tcPr>
            <w:tcW w:w="700" w:type="dxa"/>
            <w:tcMar>
              <w:top w:w="0" w:type="dxa"/>
              <w:bottom w:w="0" w:type="dxa"/>
            </w:tcMar>
            <w:vAlign w:val="center"/>
          </w:tcPr>
          <w:p w:rsidR="00FF19F7" w:rsidRDefault="00B04BC2">
            <w:pPr>
              <w:keepNext/>
              <w:keepLines/>
              <w:spacing w:after="0" w:line="240" w:lineRule="auto"/>
            </w:pPr>
            <w:r>
              <w:rPr>
                <w:sz w:val="18"/>
              </w:rPr>
              <w:t>9661</w:t>
            </w:r>
          </w:p>
        </w:tc>
        <w:tc>
          <w:tcPr>
            <w:tcW w:w="1860" w:type="dxa"/>
            <w:tcMar>
              <w:top w:w="0" w:type="dxa"/>
              <w:bottom w:w="0" w:type="dxa"/>
            </w:tcMar>
            <w:vAlign w:val="center"/>
          </w:tcPr>
          <w:p w:rsidR="00FF19F7" w:rsidRDefault="00B04BC2">
            <w:pPr>
              <w:keepNext/>
              <w:keepLines/>
              <w:spacing w:after="0" w:line="240" w:lineRule="auto"/>
              <w:jc w:val="right"/>
            </w:pPr>
            <w:r>
              <w:rPr>
                <w:sz w:val="18"/>
              </w:rPr>
              <w:t>0,00</w:t>
            </w:r>
          </w:p>
        </w:tc>
        <w:tc>
          <w:tcPr>
            <w:tcW w:w="1860" w:type="dxa"/>
            <w:tcMar>
              <w:top w:w="0" w:type="dxa"/>
              <w:bottom w:w="0" w:type="dxa"/>
            </w:tcMar>
            <w:vAlign w:val="center"/>
          </w:tcPr>
          <w:p w:rsidR="00FF19F7" w:rsidRDefault="00B04BC2">
            <w:pPr>
              <w:keepNext/>
              <w:keepLines/>
              <w:spacing w:after="0" w:line="240" w:lineRule="auto"/>
              <w:jc w:val="right"/>
            </w:pPr>
            <w:r>
              <w:rPr>
                <w:sz w:val="18"/>
              </w:rPr>
              <w:t>120,00</w:t>
            </w:r>
          </w:p>
        </w:tc>
        <w:tc>
          <w:tcPr>
            <w:tcW w:w="700" w:type="dxa"/>
            <w:tcMar>
              <w:top w:w="0" w:type="dxa"/>
              <w:bottom w:w="0" w:type="dxa"/>
            </w:tcMar>
            <w:vAlign w:val="center"/>
          </w:tcPr>
          <w:p w:rsidR="00FF19F7" w:rsidRDefault="00B04BC2">
            <w:pPr>
              <w:keepNext/>
              <w:keepLines/>
              <w:spacing w:after="0" w:line="240" w:lineRule="auto"/>
              <w:jc w:val="right"/>
            </w:pPr>
            <w:r>
              <w:rPr>
                <w:sz w:val="18"/>
              </w:rPr>
              <w:t>-</w:t>
            </w:r>
          </w:p>
        </w:tc>
      </w:tr>
    </w:tbl>
    <w:p w:rsidR="00FF19F7" w:rsidRDefault="00FF19F7">
      <w:pPr>
        <w:spacing w:after="0"/>
      </w:pPr>
    </w:p>
    <w:p w:rsidR="00FF19F7" w:rsidRDefault="00B04BC2">
      <w:r>
        <w:t>U ovom izvještajnom razdoblju ostvareni su prihodi od pruženih usluga – nenaplaćeni, koji se odnose na račun za mjesec prosinac 2025. godine za najam učionice za izvođenje nastave stranog jezika.</w:t>
      </w:r>
    </w:p>
    <w:p w:rsidR="00FF19F7" w:rsidRDefault="00FF19F7"/>
    <w:p w:rsidR="00FF19F7" w:rsidRDefault="00B04BC2">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w:t>
            </w:r>
            <w:r>
              <w:rPr>
                <w:b/>
                <w:sz w:val="18"/>
              </w:rPr>
              <w:t>o u izvještajnom razdoblju prethodne godine</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422</w:t>
            </w:r>
          </w:p>
        </w:tc>
        <w:tc>
          <w:tcPr>
            <w:tcW w:w="3180" w:type="dxa"/>
            <w:tcMar>
              <w:top w:w="0" w:type="dxa"/>
              <w:bottom w:w="0" w:type="dxa"/>
            </w:tcMar>
            <w:vAlign w:val="center"/>
          </w:tcPr>
          <w:p w:rsidR="00FF19F7" w:rsidRDefault="00B04BC2">
            <w:pPr>
              <w:keepNext/>
              <w:keepLines/>
              <w:spacing w:after="0" w:line="240" w:lineRule="auto"/>
            </w:pPr>
            <w:r>
              <w:rPr>
                <w:sz w:val="18"/>
              </w:rPr>
              <w:t>Postrojenja i oprema (šifre 4221 do 4228)</w:t>
            </w:r>
          </w:p>
        </w:tc>
        <w:tc>
          <w:tcPr>
            <w:tcW w:w="700" w:type="dxa"/>
            <w:tcMar>
              <w:top w:w="0" w:type="dxa"/>
              <w:bottom w:w="0" w:type="dxa"/>
            </w:tcMar>
            <w:vAlign w:val="center"/>
          </w:tcPr>
          <w:p w:rsidR="00FF19F7" w:rsidRDefault="00B04BC2">
            <w:pPr>
              <w:keepNext/>
              <w:keepLines/>
              <w:spacing w:after="0" w:line="240" w:lineRule="auto"/>
            </w:pPr>
            <w:r>
              <w:rPr>
                <w:sz w:val="18"/>
              </w:rPr>
              <w:t>422</w:t>
            </w:r>
          </w:p>
        </w:tc>
        <w:tc>
          <w:tcPr>
            <w:tcW w:w="1860" w:type="dxa"/>
            <w:tcMar>
              <w:top w:w="0" w:type="dxa"/>
              <w:bottom w:w="0" w:type="dxa"/>
            </w:tcMar>
            <w:vAlign w:val="center"/>
          </w:tcPr>
          <w:p w:rsidR="00FF19F7" w:rsidRDefault="00B04BC2">
            <w:pPr>
              <w:keepNext/>
              <w:keepLines/>
              <w:spacing w:after="0" w:line="240" w:lineRule="auto"/>
              <w:jc w:val="right"/>
            </w:pPr>
            <w:r>
              <w:rPr>
                <w:sz w:val="18"/>
              </w:rPr>
              <w:t>5.956,54</w:t>
            </w:r>
          </w:p>
        </w:tc>
        <w:tc>
          <w:tcPr>
            <w:tcW w:w="1860" w:type="dxa"/>
            <w:tcMar>
              <w:top w:w="0" w:type="dxa"/>
              <w:bottom w:w="0" w:type="dxa"/>
            </w:tcMar>
            <w:vAlign w:val="center"/>
          </w:tcPr>
          <w:p w:rsidR="00FF19F7" w:rsidRDefault="00B04BC2">
            <w:pPr>
              <w:keepNext/>
              <w:keepLines/>
              <w:spacing w:after="0" w:line="240" w:lineRule="auto"/>
              <w:jc w:val="right"/>
            </w:pPr>
            <w:r>
              <w:rPr>
                <w:sz w:val="18"/>
              </w:rPr>
              <w:t>31.420,67</w:t>
            </w:r>
          </w:p>
        </w:tc>
        <w:tc>
          <w:tcPr>
            <w:tcW w:w="700" w:type="dxa"/>
            <w:tcMar>
              <w:top w:w="0" w:type="dxa"/>
              <w:bottom w:w="0" w:type="dxa"/>
            </w:tcMar>
            <w:vAlign w:val="center"/>
          </w:tcPr>
          <w:p w:rsidR="00FF19F7" w:rsidRDefault="00B04BC2">
            <w:pPr>
              <w:keepNext/>
              <w:keepLines/>
              <w:spacing w:after="0" w:line="240" w:lineRule="auto"/>
              <w:jc w:val="right"/>
            </w:pPr>
            <w:r>
              <w:rPr>
                <w:sz w:val="18"/>
              </w:rPr>
              <w:t>527,5</w:t>
            </w:r>
          </w:p>
        </w:tc>
      </w:tr>
    </w:tbl>
    <w:p w:rsidR="00FF19F7" w:rsidRDefault="00FF19F7">
      <w:pPr>
        <w:spacing w:after="0"/>
      </w:pPr>
    </w:p>
    <w:p w:rsidR="00FF19F7" w:rsidRDefault="00B04BC2">
      <w:r>
        <w:t>Rashodi nabave postrojenja i opreme bilježe povećanje od 427,5% u odnosu na prethodno razdoblje zbog nabave računala i računalne opreme za informatičku učionicu, ugradnje razglasa i novog školskog zvona, opremanje učionice prvih razreda novim školskim ergo</w:t>
      </w:r>
      <w:r>
        <w:t>nomskim stolicama, uređenje i opremanje učionice produženog boravka na otvorenom, nabavu školskih ploča te pametne ploče.</w:t>
      </w:r>
    </w:p>
    <w:p w:rsidR="00FF19F7" w:rsidRDefault="00FF19F7"/>
    <w:p w:rsidR="00FF19F7" w:rsidRDefault="00B04BC2">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w:t>
            </w:r>
            <w:r>
              <w:rPr>
                <w:b/>
                <w:sz w:val="18"/>
              </w:rPr>
              <w:t>blju tekuće godine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4221</w:t>
            </w:r>
          </w:p>
        </w:tc>
        <w:tc>
          <w:tcPr>
            <w:tcW w:w="3180" w:type="dxa"/>
            <w:tcMar>
              <w:top w:w="0" w:type="dxa"/>
              <w:bottom w:w="0" w:type="dxa"/>
            </w:tcMar>
            <w:vAlign w:val="center"/>
          </w:tcPr>
          <w:p w:rsidR="00FF19F7" w:rsidRDefault="00B04BC2">
            <w:pPr>
              <w:keepNext/>
              <w:keepLines/>
              <w:spacing w:after="0" w:line="240" w:lineRule="auto"/>
            </w:pPr>
            <w:r>
              <w:rPr>
                <w:sz w:val="18"/>
              </w:rPr>
              <w:t>Uredska oprema i namještaj</w:t>
            </w:r>
          </w:p>
        </w:tc>
        <w:tc>
          <w:tcPr>
            <w:tcW w:w="700" w:type="dxa"/>
            <w:tcMar>
              <w:top w:w="0" w:type="dxa"/>
              <w:bottom w:w="0" w:type="dxa"/>
            </w:tcMar>
            <w:vAlign w:val="center"/>
          </w:tcPr>
          <w:p w:rsidR="00FF19F7" w:rsidRDefault="00B04BC2">
            <w:pPr>
              <w:keepNext/>
              <w:keepLines/>
              <w:spacing w:after="0" w:line="240" w:lineRule="auto"/>
            </w:pPr>
            <w:r>
              <w:rPr>
                <w:sz w:val="18"/>
              </w:rPr>
              <w:t>4221</w:t>
            </w:r>
          </w:p>
        </w:tc>
        <w:tc>
          <w:tcPr>
            <w:tcW w:w="1860" w:type="dxa"/>
            <w:tcMar>
              <w:top w:w="0" w:type="dxa"/>
              <w:bottom w:w="0" w:type="dxa"/>
            </w:tcMar>
            <w:vAlign w:val="center"/>
          </w:tcPr>
          <w:p w:rsidR="00FF19F7" w:rsidRDefault="00B04BC2">
            <w:pPr>
              <w:keepNext/>
              <w:keepLines/>
              <w:spacing w:after="0" w:line="240" w:lineRule="auto"/>
              <w:jc w:val="right"/>
            </w:pPr>
            <w:r>
              <w:rPr>
                <w:sz w:val="18"/>
              </w:rPr>
              <w:t>1.811,79</w:t>
            </w:r>
          </w:p>
        </w:tc>
        <w:tc>
          <w:tcPr>
            <w:tcW w:w="1860" w:type="dxa"/>
            <w:tcMar>
              <w:top w:w="0" w:type="dxa"/>
              <w:bottom w:w="0" w:type="dxa"/>
            </w:tcMar>
            <w:vAlign w:val="center"/>
          </w:tcPr>
          <w:p w:rsidR="00FF19F7" w:rsidRDefault="00B04BC2">
            <w:pPr>
              <w:keepNext/>
              <w:keepLines/>
              <w:spacing w:after="0" w:line="240" w:lineRule="auto"/>
              <w:jc w:val="right"/>
            </w:pPr>
            <w:r>
              <w:rPr>
                <w:sz w:val="18"/>
              </w:rPr>
              <w:t>23.927,62</w:t>
            </w:r>
          </w:p>
        </w:tc>
        <w:tc>
          <w:tcPr>
            <w:tcW w:w="700" w:type="dxa"/>
            <w:tcMar>
              <w:top w:w="0" w:type="dxa"/>
              <w:bottom w:w="0" w:type="dxa"/>
            </w:tcMar>
            <w:vAlign w:val="center"/>
          </w:tcPr>
          <w:p w:rsidR="00FF19F7" w:rsidRDefault="00B04BC2">
            <w:pPr>
              <w:keepNext/>
              <w:keepLines/>
              <w:spacing w:after="0" w:line="240" w:lineRule="auto"/>
              <w:jc w:val="right"/>
            </w:pPr>
            <w:r>
              <w:rPr>
                <w:sz w:val="18"/>
              </w:rPr>
              <w:t>1320,7</w:t>
            </w:r>
          </w:p>
        </w:tc>
      </w:tr>
    </w:tbl>
    <w:p w:rsidR="00FF19F7" w:rsidRDefault="00FF19F7">
      <w:pPr>
        <w:spacing w:after="0"/>
      </w:pPr>
    </w:p>
    <w:p w:rsidR="00FF19F7" w:rsidRDefault="00B04BC2">
      <w:r>
        <w:t xml:space="preserve">Rashodi nabave postrojenja i opreme bilježe znatno povećanje u odnosu na prethodno razdoblje zbog  opremanja učionice prvih razreda novim školskim ergonomskim stolicama, </w:t>
      </w:r>
      <w:r>
        <w:lastRenderedPageBreak/>
        <w:t>uređenje i opremanje učionice produženog boravka na otvorenom, nabavu školskih ploča t</w:t>
      </w:r>
      <w:r>
        <w:t>e uredskog namještaja za ured pedagoga.</w:t>
      </w:r>
    </w:p>
    <w:p w:rsidR="00FF19F7" w:rsidRDefault="00FF19F7"/>
    <w:p w:rsidR="00FF19F7" w:rsidRDefault="00B04BC2">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4227</w:t>
            </w:r>
          </w:p>
        </w:tc>
        <w:tc>
          <w:tcPr>
            <w:tcW w:w="3180" w:type="dxa"/>
            <w:tcMar>
              <w:top w:w="0" w:type="dxa"/>
              <w:bottom w:w="0" w:type="dxa"/>
            </w:tcMar>
            <w:vAlign w:val="center"/>
          </w:tcPr>
          <w:p w:rsidR="00FF19F7" w:rsidRDefault="00B04BC2">
            <w:pPr>
              <w:keepNext/>
              <w:keepLines/>
              <w:spacing w:after="0" w:line="240" w:lineRule="auto"/>
            </w:pPr>
            <w:r>
              <w:rPr>
                <w:sz w:val="18"/>
              </w:rPr>
              <w:t>Uređaji, strojevi i oprema za ostale namjene</w:t>
            </w:r>
          </w:p>
        </w:tc>
        <w:tc>
          <w:tcPr>
            <w:tcW w:w="700" w:type="dxa"/>
            <w:tcMar>
              <w:top w:w="0" w:type="dxa"/>
              <w:bottom w:w="0" w:type="dxa"/>
            </w:tcMar>
            <w:vAlign w:val="center"/>
          </w:tcPr>
          <w:p w:rsidR="00FF19F7" w:rsidRDefault="00B04BC2">
            <w:pPr>
              <w:keepNext/>
              <w:keepLines/>
              <w:spacing w:after="0" w:line="240" w:lineRule="auto"/>
            </w:pPr>
            <w:r>
              <w:rPr>
                <w:sz w:val="18"/>
              </w:rPr>
              <w:t>4227</w:t>
            </w:r>
          </w:p>
        </w:tc>
        <w:tc>
          <w:tcPr>
            <w:tcW w:w="1860" w:type="dxa"/>
            <w:tcMar>
              <w:top w:w="0" w:type="dxa"/>
              <w:bottom w:w="0" w:type="dxa"/>
            </w:tcMar>
            <w:vAlign w:val="center"/>
          </w:tcPr>
          <w:p w:rsidR="00FF19F7" w:rsidRDefault="00B04BC2">
            <w:pPr>
              <w:keepNext/>
              <w:keepLines/>
              <w:spacing w:after="0" w:line="240" w:lineRule="auto"/>
              <w:jc w:val="right"/>
            </w:pPr>
            <w:r>
              <w:rPr>
                <w:sz w:val="18"/>
              </w:rPr>
              <w:t>4.144,75</w:t>
            </w:r>
          </w:p>
        </w:tc>
        <w:tc>
          <w:tcPr>
            <w:tcW w:w="1860" w:type="dxa"/>
            <w:tcMar>
              <w:top w:w="0" w:type="dxa"/>
              <w:bottom w:w="0" w:type="dxa"/>
            </w:tcMar>
            <w:vAlign w:val="center"/>
          </w:tcPr>
          <w:p w:rsidR="00FF19F7" w:rsidRDefault="00B04BC2">
            <w:pPr>
              <w:keepNext/>
              <w:keepLines/>
              <w:spacing w:after="0" w:line="240" w:lineRule="auto"/>
              <w:jc w:val="right"/>
            </w:pPr>
            <w:r>
              <w:rPr>
                <w:sz w:val="18"/>
              </w:rPr>
              <w:t>7.493,05</w:t>
            </w:r>
          </w:p>
        </w:tc>
        <w:tc>
          <w:tcPr>
            <w:tcW w:w="700" w:type="dxa"/>
            <w:tcMar>
              <w:top w:w="0" w:type="dxa"/>
              <w:bottom w:w="0" w:type="dxa"/>
            </w:tcMar>
            <w:vAlign w:val="center"/>
          </w:tcPr>
          <w:p w:rsidR="00FF19F7" w:rsidRDefault="00B04BC2">
            <w:pPr>
              <w:keepNext/>
              <w:keepLines/>
              <w:spacing w:after="0" w:line="240" w:lineRule="auto"/>
              <w:jc w:val="right"/>
            </w:pPr>
            <w:r>
              <w:rPr>
                <w:sz w:val="18"/>
              </w:rPr>
              <w:t>180,8</w:t>
            </w:r>
          </w:p>
        </w:tc>
      </w:tr>
    </w:tbl>
    <w:p w:rsidR="00FF19F7" w:rsidRDefault="00FF19F7">
      <w:pPr>
        <w:spacing w:after="0"/>
      </w:pPr>
    </w:p>
    <w:p w:rsidR="00FF19F7" w:rsidRDefault="00B04BC2">
      <w:r>
        <w:t xml:space="preserve">Rashodi za uređaje, strojeve i opremu za ostalu namjenu u ovom izvještajnom razdoblju veći su za 80,8% u odnosu na isto izvještajno razdoblje prethodne godine zbog ugradnje razglasa i školskog zvona po projektu te nabave i ugradnje sustava </w:t>
      </w:r>
      <w:proofErr w:type="spellStart"/>
      <w:r>
        <w:t>videonadzora</w:t>
      </w:r>
      <w:proofErr w:type="spellEnd"/>
      <w:r>
        <w:t xml:space="preserve"> u s</w:t>
      </w:r>
      <w:r>
        <w:t>kladu s Planom sigurnosti školske ustanove. </w:t>
      </w:r>
    </w:p>
    <w:p w:rsidR="00FF19F7" w:rsidRDefault="00FF19F7"/>
    <w:p w:rsidR="00FF19F7" w:rsidRDefault="00B04BC2">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11</w:t>
            </w:r>
          </w:p>
        </w:tc>
        <w:tc>
          <w:tcPr>
            <w:tcW w:w="3180" w:type="dxa"/>
            <w:tcMar>
              <w:top w:w="0" w:type="dxa"/>
              <w:bottom w:w="0" w:type="dxa"/>
            </w:tcMar>
            <w:vAlign w:val="center"/>
          </w:tcPr>
          <w:p w:rsidR="00FF19F7" w:rsidRDefault="00B04BC2">
            <w:pPr>
              <w:keepNext/>
              <w:keepLines/>
              <w:spacing w:after="0" w:line="240" w:lineRule="auto"/>
            </w:pPr>
            <w:r>
              <w:rPr>
                <w:sz w:val="18"/>
              </w:rPr>
              <w:t xml:space="preserve">Stanje novčanih sredstava na kraju </w:t>
            </w:r>
            <w:r>
              <w:rPr>
                <w:sz w:val="18"/>
              </w:rPr>
              <w:t>izvještajnog razdoblja (šifre 11P + '11-dugov.' - '11-potraž.')</w:t>
            </w:r>
          </w:p>
        </w:tc>
        <w:tc>
          <w:tcPr>
            <w:tcW w:w="700" w:type="dxa"/>
            <w:tcMar>
              <w:top w:w="0" w:type="dxa"/>
              <w:bottom w:w="0" w:type="dxa"/>
            </w:tcMar>
            <w:vAlign w:val="center"/>
          </w:tcPr>
          <w:p w:rsidR="00FF19F7" w:rsidRDefault="00B04BC2">
            <w:pPr>
              <w:keepNext/>
              <w:keepLines/>
              <w:spacing w:after="0" w:line="240" w:lineRule="auto"/>
            </w:pPr>
            <w:r>
              <w:rPr>
                <w:sz w:val="18"/>
              </w:rPr>
              <w:t>11K</w:t>
            </w:r>
          </w:p>
        </w:tc>
        <w:tc>
          <w:tcPr>
            <w:tcW w:w="1860" w:type="dxa"/>
            <w:tcMar>
              <w:top w:w="0" w:type="dxa"/>
              <w:bottom w:w="0" w:type="dxa"/>
            </w:tcMar>
            <w:vAlign w:val="center"/>
          </w:tcPr>
          <w:p w:rsidR="00FF19F7" w:rsidRDefault="00B04BC2">
            <w:pPr>
              <w:keepNext/>
              <w:keepLines/>
              <w:spacing w:after="0" w:line="240" w:lineRule="auto"/>
              <w:jc w:val="right"/>
            </w:pPr>
            <w:r>
              <w:rPr>
                <w:sz w:val="18"/>
              </w:rPr>
              <w:t>11.187,62</w:t>
            </w:r>
          </w:p>
        </w:tc>
        <w:tc>
          <w:tcPr>
            <w:tcW w:w="1860" w:type="dxa"/>
            <w:tcMar>
              <w:top w:w="0" w:type="dxa"/>
              <w:bottom w:w="0" w:type="dxa"/>
            </w:tcMar>
            <w:vAlign w:val="center"/>
          </w:tcPr>
          <w:p w:rsidR="00FF19F7" w:rsidRDefault="00B04BC2">
            <w:pPr>
              <w:keepNext/>
              <w:keepLines/>
              <w:spacing w:after="0" w:line="240" w:lineRule="auto"/>
              <w:jc w:val="right"/>
            </w:pPr>
            <w:r>
              <w:rPr>
                <w:sz w:val="18"/>
              </w:rPr>
              <w:t>17.183,17</w:t>
            </w:r>
          </w:p>
        </w:tc>
        <w:tc>
          <w:tcPr>
            <w:tcW w:w="700" w:type="dxa"/>
            <w:tcMar>
              <w:top w:w="0" w:type="dxa"/>
              <w:bottom w:w="0" w:type="dxa"/>
            </w:tcMar>
            <w:vAlign w:val="center"/>
          </w:tcPr>
          <w:p w:rsidR="00FF19F7" w:rsidRDefault="00B04BC2">
            <w:pPr>
              <w:keepNext/>
              <w:keepLines/>
              <w:spacing w:after="0" w:line="240" w:lineRule="auto"/>
              <w:jc w:val="right"/>
            </w:pPr>
            <w:r>
              <w:rPr>
                <w:sz w:val="18"/>
              </w:rPr>
              <w:t>153,6</w:t>
            </w:r>
          </w:p>
        </w:tc>
      </w:tr>
    </w:tbl>
    <w:p w:rsidR="00FF19F7" w:rsidRDefault="00FF19F7">
      <w:pPr>
        <w:spacing w:after="0"/>
      </w:pPr>
    </w:p>
    <w:p w:rsidR="00FF19F7" w:rsidRDefault="00B04BC2">
      <w:r>
        <w:t xml:space="preserve">Stanje novčanih sredstava na kraju izvještajnog razdoblja u ovom razdoblju veće je za 53,6 % u odnosu na isto izvještajno razdoblje prethodne godine. Povećanje je rezultat uplata roditelja za financiranje usluge produženog boravka zbog većeg broja upisane </w:t>
      </w:r>
      <w:r>
        <w:t>djece u isti. </w:t>
      </w:r>
    </w:p>
    <w:p w:rsidR="00FF19F7" w:rsidRDefault="00FF19F7"/>
    <w:p w:rsidR="00FF19F7" w:rsidRDefault="00B04BC2">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31214</w:t>
            </w:r>
          </w:p>
        </w:tc>
        <w:tc>
          <w:tcPr>
            <w:tcW w:w="3180" w:type="dxa"/>
            <w:tcMar>
              <w:top w:w="0" w:type="dxa"/>
              <w:bottom w:w="0" w:type="dxa"/>
            </w:tcMar>
            <w:vAlign w:val="center"/>
          </w:tcPr>
          <w:p w:rsidR="00FF19F7" w:rsidRDefault="00B04BC2">
            <w:pPr>
              <w:keepNext/>
              <w:keepLines/>
              <w:spacing w:after="0" w:line="240" w:lineRule="auto"/>
            </w:pPr>
            <w:r>
              <w:rPr>
                <w:sz w:val="18"/>
              </w:rPr>
              <w:t>Otpremnine</w:t>
            </w:r>
          </w:p>
        </w:tc>
        <w:tc>
          <w:tcPr>
            <w:tcW w:w="700" w:type="dxa"/>
            <w:tcMar>
              <w:top w:w="0" w:type="dxa"/>
              <w:bottom w:w="0" w:type="dxa"/>
            </w:tcMar>
            <w:vAlign w:val="center"/>
          </w:tcPr>
          <w:p w:rsidR="00FF19F7" w:rsidRDefault="00B04BC2">
            <w:pPr>
              <w:keepNext/>
              <w:keepLines/>
              <w:spacing w:after="0" w:line="240" w:lineRule="auto"/>
            </w:pPr>
            <w:r>
              <w:rPr>
                <w:sz w:val="18"/>
              </w:rPr>
              <w:t>31214</w:t>
            </w:r>
          </w:p>
        </w:tc>
        <w:tc>
          <w:tcPr>
            <w:tcW w:w="1860" w:type="dxa"/>
            <w:tcMar>
              <w:top w:w="0" w:type="dxa"/>
              <w:bottom w:w="0" w:type="dxa"/>
            </w:tcMar>
            <w:vAlign w:val="center"/>
          </w:tcPr>
          <w:p w:rsidR="00FF19F7" w:rsidRDefault="00B04BC2">
            <w:pPr>
              <w:keepNext/>
              <w:keepLines/>
              <w:spacing w:after="0" w:line="240" w:lineRule="auto"/>
              <w:jc w:val="right"/>
            </w:pPr>
            <w:r>
              <w:rPr>
                <w:sz w:val="18"/>
              </w:rPr>
              <w:t>0,00</w:t>
            </w:r>
          </w:p>
        </w:tc>
        <w:tc>
          <w:tcPr>
            <w:tcW w:w="1860" w:type="dxa"/>
            <w:tcMar>
              <w:top w:w="0" w:type="dxa"/>
              <w:bottom w:w="0" w:type="dxa"/>
            </w:tcMar>
            <w:vAlign w:val="center"/>
          </w:tcPr>
          <w:p w:rsidR="00FF19F7" w:rsidRDefault="00B04BC2">
            <w:pPr>
              <w:keepNext/>
              <w:keepLines/>
              <w:spacing w:after="0" w:line="240" w:lineRule="auto"/>
              <w:jc w:val="right"/>
            </w:pPr>
            <w:r>
              <w:rPr>
                <w:sz w:val="18"/>
              </w:rPr>
              <w:t>27.196,60</w:t>
            </w:r>
          </w:p>
        </w:tc>
        <w:tc>
          <w:tcPr>
            <w:tcW w:w="700" w:type="dxa"/>
            <w:tcMar>
              <w:top w:w="0" w:type="dxa"/>
              <w:bottom w:w="0" w:type="dxa"/>
            </w:tcMar>
            <w:vAlign w:val="center"/>
          </w:tcPr>
          <w:p w:rsidR="00FF19F7" w:rsidRDefault="00B04BC2">
            <w:pPr>
              <w:keepNext/>
              <w:keepLines/>
              <w:spacing w:after="0" w:line="240" w:lineRule="auto"/>
              <w:jc w:val="right"/>
            </w:pPr>
            <w:r>
              <w:rPr>
                <w:sz w:val="18"/>
              </w:rPr>
              <w:t>-</w:t>
            </w:r>
          </w:p>
        </w:tc>
      </w:tr>
    </w:tbl>
    <w:p w:rsidR="00FF19F7" w:rsidRDefault="00FF19F7">
      <w:pPr>
        <w:spacing w:after="0"/>
      </w:pPr>
    </w:p>
    <w:p w:rsidR="00FF19F7" w:rsidRDefault="00B04BC2">
      <w:r>
        <w:t>U ovom izvještajnom razdoblju škola je imala isplatu povlaštene otpremnine radnici zbog otkaza ugovora o radu, a radi odlaska iste u prijevremenu invalidsku mirovinu.</w:t>
      </w:r>
    </w:p>
    <w:p w:rsidR="00FF19F7" w:rsidRDefault="00FF19F7"/>
    <w:p w:rsidR="00FF19F7" w:rsidRDefault="00B04BC2">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pr</w:t>
            </w:r>
            <w:r>
              <w:rPr>
                <w:b/>
                <w:sz w:val="18"/>
              </w:rPr>
              <w:t>ethodne godine</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32372</w:t>
            </w:r>
          </w:p>
        </w:tc>
        <w:tc>
          <w:tcPr>
            <w:tcW w:w="3180" w:type="dxa"/>
            <w:tcMar>
              <w:top w:w="0" w:type="dxa"/>
              <w:bottom w:w="0" w:type="dxa"/>
            </w:tcMar>
            <w:vAlign w:val="center"/>
          </w:tcPr>
          <w:p w:rsidR="00FF19F7" w:rsidRDefault="00B04BC2">
            <w:pPr>
              <w:keepNext/>
              <w:keepLines/>
              <w:spacing w:after="0" w:line="240" w:lineRule="auto"/>
            </w:pPr>
            <w:r>
              <w:rPr>
                <w:sz w:val="18"/>
              </w:rPr>
              <w:t>Ugovori o djelu</w:t>
            </w:r>
          </w:p>
        </w:tc>
        <w:tc>
          <w:tcPr>
            <w:tcW w:w="700" w:type="dxa"/>
            <w:tcMar>
              <w:top w:w="0" w:type="dxa"/>
              <w:bottom w:w="0" w:type="dxa"/>
            </w:tcMar>
            <w:vAlign w:val="center"/>
          </w:tcPr>
          <w:p w:rsidR="00FF19F7" w:rsidRDefault="00B04BC2">
            <w:pPr>
              <w:keepNext/>
              <w:keepLines/>
              <w:spacing w:after="0" w:line="240" w:lineRule="auto"/>
            </w:pPr>
            <w:r>
              <w:rPr>
                <w:sz w:val="18"/>
              </w:rPr>
              <w:t>32372</w:t>
            </w:r>
          </w:p>
        </w:tc>
        <w:tc>
          <w:tcPr>
            <w:tcW w:w="1860" w:type="dxa"/>
            <w:tcMar>
              <w:top w:w="0" w:type="dxa"/>
              <w:bottom w:w="0" w:type="dxa"/>
            </w:tcMar>
            <w:vAlign w:val="center"/>
          </w:tcPr>
          <w:p w:rsidR="00FF19F7" w:rsidRDefault="00B04BC2">
            <w:pPr>
              <w:keepNext/>
              <w:keepLines/>
              <w:spacing w:after="0" w:line="240" w:lineRule="auto"/>
              <w:jc w:val="right"/>
            </w:pPr>
            <w:r>
              <w:rPr>
                <w:sz w:val="18"/>
              </w:rPr>
              <w:t>1.358,86</w:t>
            </w:r>
          </w:p>
        </w:tc>
        <w:tc>
          <w:tcPr>
            <w:tcW w:w="1860" w:type="dxa"/>
            <w:tcMar>
              <w:top w:w="0" w:type="dxa"/>
              <w:bottom w:w="0" w:type="dxa"/>
            </w:tcMar>
            <w:vAlign w:val="center"/>
          </w:tcPr>
          <w:p w:rsidR="00FF19F7" w:rsidRDefault="00B04BC2">
            <w:pPr>
              <w:keepNext/>
              <w:keepLines/>
              <w:spacing w:after="0" w:line="240" w:lineRule="auto"/>
              <w:jc w:val="right"/>
            </w:pPr>
            <w:r>
              <w:rPr>
                <w:sz w:val="18"/>
              </w:rPr>
              <w:t>159,25</w:t>
            </w:r>
          </w:p>
        </w:tc>
        <w:tc>
          <w:tcPr>
            <w:tcW w:w="700" w:type="dxa"/>
            <w:tcMar>
              <w:top w:w="0" w:type="dxa"/>
              <w:bottom w:w="0" w:type="dxa"/>
            </w:tcMar>
            <w:vAlign w:val="center"/>
          </w:tcPr>
          <w:p w:rsidR="00FF19F7" w:rsidRDefault="00B04BC2">
            <w:pPr>
              <w:keepNext/>
              <w:keepLines/>
              <w:spacing w:after="0" w:line="240" w:lineRule="auto"/>
              <w:jc w:val="right"/>
            </w:pPr>
            <w:r>
              <w:rPr>
                <w:sz w:val="18"/>
              </w:rPr>
              <w:t>11,7</w:t>
            </w:r>
          </w:p>
        </w:tc>
      </w:tr>
    </w:tbl>
    <w:p w:rsidR="00FF19F7" w:rsidRDefault="00FF19F7">
      <w:pPr>
        <w:spacing w:after="0"/>
      </w:pPr>
    </w:p>
    <w:p w:rsidR="00FF19F7" w:rsidRDefault="00B04BC2">
      <w:r>
        <w:lastRenderedPageBreak/>
        <w:t>U ovom izvještajnom razdoblju nije bilo isplate Ugovora o djelu stručnjaku za tehničku podršku zbog završetka projekta. </w:t>
      </w:r>
    </w:p>
    <w:p w:rsidR="00FF19F7" w:rsidRDefault="00FF19F7"/>
    <w:p w:rsidR="00FF19F7" w:rsidRDefault="00B04BC2">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37229</w:t>
            </w:r>
          </w:p>
        </w:tc>
        <w:tc>
          <w:tcPr>
            <w:tcW w:w="3180" w:type="dxa"/>
            <w:tcMar>
              <w:top w:w="0" w:type="dxa"/>
              <w:bottom w:w="0" w:type="dxa"/>
            </w:tcMar>
            <w:vAlign w:val="center"/>
          </w:tcPr>
          <w:p w:rsidR="00FF19F7" w:rsidRDefault="00B04BC2">
            <w:pPr>
              <w:keepNext/>
              <w:keepLines/>
              <w:spacing w:after="0" w:line="240" w:lineRule="auto"/>
            </w:pPr>
            <w:r>
              <w:rPr>
                <w:sz w:val="18"/>
              </w:rPr>
              <w:t>Ostale naknade iz proračuna u naravi</w:t>
            </w:r>
          </w:p>
        </w:tc>
        <w:tc>
          <w:tcPr>
            <w:tcW w:w="700" w:type="dxa"/>
            <w:tcMar>
              <w:top w:w="0" w:type="dxa"/>
              <w:bottom w:w="0" w:type="dxa"/>
            </w:tcMar>
            <w:vAlign w:val="center"/>
          </w:tcPr>
          <w:p w:rsidR="00FF19F7" w:rsidRDefault="00B04BC2">
            <w:pPr>
              <w:keepNext/>
              <w:keepLines/>
              <w:spacing w:after="0" w:line="240" w:lineRule="auto"/>
            </w:pPr>
            <w:r>
              <w:rPr>
                <w:sz w:val="18"/>
              </w:rPr>
              <w:t>37229</w:t>
            </w:r>
          </w:p>
        </w:tc>
        <w:tc>
          <w:tcPr>
            <w:tcW w:w="1860" w:type="dxa"/>
            <w:tcMar>
              <w:top w:w="0" w:type="dxa"/>
              <w:bottom w:w="0" w:type="dxa"/>
            </w:tcMar>
            <w:vAlign w:val="center"/>
          </w:tcPr>
          <w:p w:rsidR="00FF19F7" w:rsidRDefault="00B04BC2">
            <w:pPr>
              <w:keepNext/>
              <w:keepLines/>
              <w:spacing w:after="0" w:line="240" w:lineRule="auto"/>
              <w:jc w:val="right"/>
            </w:pPr>
            <w:r>
              <w:rPr>
                <w:sz w:val="18"/>
              </w:rPr>
              <w:t>3.180,10</w:t>
            </w:r>
          </w:p>
        </w:tc>
        <w:tc>
          <w:tcPr>
            <w:tcW w:w="1860" w:type="dxa"/>
            <w:tcMar>
              <w:top w:w="0" w:type="dxa"/>
              <w:bottom w:w="0" w:type="dxa"/>
            </w:tcMar>
            <w:vAlign w:val="center"/>
          </w:tcPr>
          <w:p w:rsidR="00FF19F7" w:rsidRDefault="00B04BC2">
            <w:pPr>
              <w:keepNext/>
              <w:keepLines/>
              <w:spacing w:after="0" w:line="240" w:lineRule="auto"/>
              <w:jc w:val="right"/>
            </w:pPr>
            <w:r>
              <w:rPr>
                <w:sz w:val="18"/>
              </w:rPr>
              <w:t>5.028,51</w:t>
            </w:r>
          </w:p>
        </w:tc>
        <w:tc>
          <w:tcPr>
            <w:tcW w:w="700" w:type="dxa"/>
            <w:tcMar>
              <w:top w:w="0" w:type="dxa"/>
              <w:bottom w:w="0" w:type="dxa"/>
            </w:tcMar>
            <w:vAlign w:val="center"/>
          </w:tcPr>
          <w:p w:rsidR="00FF19F7" w:rsidRDefault="00B04BC2">
            <w:pPr>
              <w:keepNext/>
              <w:keepLines/>
              <w:spacing w:after="0" w:line="240" w:lineRule="auto"/>
              <w:jc w:val="right"/>
            </w:pPr>
            <w:r>
              <w:rPr>
                <w:sz w:val="18"/>
              </w:rPr>
              <w:t>158,1</w:t>
            </w:r>
          </w:p>
        </w:tc>
      </w:tr>
    </w:tbl>
    <w:p w:rsidR="00FF19F7" w:rsidRDefault="00FF19F7">
      <w:pPr>
        <w:spacing w:after="0"/>
      </w:pPr>
    </w:p>
    <w:p w:rsidR="00FF19F7" w:rsidRDefault="00B04BC2">
      <w:r>
        <w:t>Rashodi za ostale naknade iz proračuna  u naravi bilježe povećanje od 58,1% u odnosu na prethodno razdoblje zbog veće nabave radnih udžbenika za učenike nižih razreda.</w:t>
      </w:r>
    </w:p>
    <w:p w:rsidR="00FF19F7" w:rsidRDefault="00FF19F7"/>
    <w:p w:rsidR="00FF19F7" w:rsidRDefault="00B04BC2">
      <w:pPr>
        <w:keepNext/>
        <w:spacing w:line="240" w:lineRule="auto"/>
        <w:jc w:val="center"/>
      </w:pPr>
      <w:r>
        <w:rPr>
          <w:b/>
          <w:sz w:val="28"/>
        </w:rPr>
        <w:t>Bilanca</w:t>
      </w:r>
    </w:p>
    <w:p w:rsidR="00FF19F7" w:rsidRDefault="00B04BC2">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31</w:t>
            </w:r>
            <w:r>
              <w:rPr>
                <w:b/>
                <w:sz w:val="18"/>
              </w:rPr>
              <w:t>. prosinca</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11</w:t>
            </w:r>
          </w:p>
        </w:tc>
        <w:tc>
          <w:tcPr>
            <w:tcW w:w="3180" w:type="dxa"/>
            <w:tcMar>
              <w:top w:w="0" w:type="dxa"/>
              <w:bottom w:w="0" w:type="dxa"/>
            </w:tcMar>
            <w:vAlign w:val="center"/>
          </w:tcPr>
          <w:p w:rsidR="00FF19F7" w:rsidRDefault="00B04BC2">
            <w:pPr>
              <w:keepNext/>
              <w:keepLines/>
              <w:spacing w:after="0" w:line="240" w:lineRule="auto"/>
            </w:pPr>
            <w:r>
              <w:rPr>
                <w:sz w:val="18"/>
              </w:rPr>
              <w:t>Novac u banci i blagajni (šifre 111+112 do 114)</w:t>
            </w:r>
          </w:p>
        </w:tc>
        <w:tc>
          <w:tcPr>
            <w:tcW w:w="700" w:type="dxa"/>
            <w:tcMar>
              <w:top w:w="0" w:type="dxa"/>
              <w:bottom w:w="0" w:type="dxa"/>
            </w:tcMar>
            <w:vAlign w:val="center"/>
          </w:tcPr>
          <w:p w:rsidR="00FF19F7" w:rsidRDefault="00B04BC2">
            <w:pPr>
              <w:keepNext/>
              <w:keepLines/>
              <w:spacing w:after="0" w:line="240" w:lineRule="auto"/>
            </w:pPr>
            <w:r>
              <w:rPr>
                <w:sz w:val="18"/>
              </w:rPr>
              <w:t>11</w:t>
            </w:r>
          </w:p>
        </w:tc>
        <w:tc>
          <w:tcPr>
            <w:tcW w:w="1860" w:type="dxa"/>
            <w:tcMar>
              <w:top w:w="0" w:type="dxa"/>
              <w:bottom w:w="0" w:type="dxa"/>
            </w:tcMar>
            <w:vAlign w:val="center"/>
          </w:tcPr>
          <w:p w:rsidR="00FF19F7" w:rsidRDefault="00B04BC2">
            <w:pPr>
              <w:keepNext/>
              <w:keepLines/>
              <w:spacing w:after="0" w:line="240" w:lineRule="auto"/>
              <w:jc w:val="right"/>
            </w:pPr>
            <w:r>
              <w:rPr>
                <w:sz w:val="18"/>
              </w:rPr>
              <w:t>11.187,62</w:t>
            </w:r>
          </w:p>
        </w:tc>
        <w:tc>
          <w:tcPr>
            <w:tcW w:w="1860" w:type="dxa"/>
            <w:tcMar>
              <w:top w:w="0" w:type="dxa"/>
              <w:bottom w:w="0" w:type="dxa"/>
            </w:tcMar>
            <w:vAlign w:val="center"/>
          </w:tcPr>
          <w:p w:rsidR="00FF19F7" w:rsidRDefault="00B04BC2">
            <w:pPr>
              <w:keepNext/>
              <w:keepLines/>
              <w:spacing w:after="0" w:line="240" w:lineRule="auto"/>
              <w:jc w:val="right"/>
            </w:pPr>
            <w:r>
              <w:rPr>
                <w:sz w:val="18"/>
              </w:rPr>
              <w:t>17.183,17</w:t>
            </w:r>
          </w:p>
        </w:tc>
        <w:tc>
          <w:tcPr>
            <w:tcW w:w="700" w:type="dxa"/>
            <w:tcMar>
              <w:top w:w="0" w:type="dxa"/>
              <w:bottom w:w="0" w:type="dxa"/>
            </w:tcMar>
            <w:vAlign w:val="center"/>
          </w:tcPr>
          <w:p w:rsidR="00FF19F7" w:rsidRDefault="00B04BC2">
            <w:pPr>
              <w:keepNext/>
              <w:keepLines/>
              <w:spacing w:after="0" w:line="240" w:lineRule="auto"/>
              <w:jc w:val="right"/>
            </w:pPr>
            <w:r>
              <w:rPr>
                <w:sz w:val="18"/>
              </w:rPr>
              <w:t>153,6</w:t>
            </w:r>
          </w:p>
        </w:tc>
      </w:tr>
    </w:tbl>
    <w:p w:rsidR="00FF19F7" w:rsidRDefault="00FF19F7">
      <w:pPr>
        <w:spacing w:after="0"/>
      </w:pPr>
    </w:p>
    <w:p w:rsidR="00FF19F7" w:rsidRDefault="00B04BC2">
      <w:r>
        <w:t>Stanje novčanih sredstava na kraju izvještajnog razdoblja u ovom razdoblju veće je za 53,6 % u odnosu na početno. Povećanje je rezultat uplata roditelja za financiranje usluge produženog boravka zbog većeg broja upisanih učenika u isti.</w:t>
      </w:r>
    </w:p>
    <w:p w:rsidR="00FF19F7" w:rsidRDefault="00FF19F7"/>
    <w:p w:rsidR="00FF19F7" w:rsidRDefault="00B04BC2">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Račun</w:t>
            </w:r>
            <w:r>
              <w:rPr>
                <w:b/>
                <w:sz w:val="18"/>
              </w:rPr>
              <w:t xml:space="preserve">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124</w:t>
            </w:r>
          </w:p>
        </w:tc>
        <w:tc>
          <w:tcPr>
            <w:tcW w:w="3180" w:type="dxa"/>
            <w:tcMar>
              <w:top w:w="0" w:type="dxa"/>
              <w:bottom w:w="0" w:type="dxa"/>
            </w:tcMar>
            <w:vAlign w:val="center"/>
          </w:tcPr>
          <w:p w:rsidR="00FF19F7" w:rsidRDefault="00B04BC2">
            <w:pPr>
              <w:keepNext/>
              <w:keepLines/>
              <w:spacing w:after="0" w:line="240" w:lineRule="auto"/>
            </w:pPr>
            <w:r>
              <w:rPr>
                <w:sz w:val="18"/>
              </w:rPr>
              <w:t>Potraživanja za više plaćene poreze i doprinose</w:t>
            </w:r>
          </w:p>
        </w:tc>
        <w:tc>
          <w:tcPr>
            <w:tcW w:w="700" w:type="dxa"/>
            <w:tcMar>
              <w:top w:w="0" w:type="dxa"/>
              <w:bottom w:w="0" w:type="dxa"/>
            </w:tcMar>
            <w:vAlign w:val="center"/>
          </w:tcPr>
          <w:p w:rsidR="00FF19F7" w:rsidRDefault="00B04BC2">
            <w:pPr>
              <w:keepNext/>
              <w:keepLines/>
              <w:spacing w:after="0" w:line="240" w:lineRule="auto"/>
            </w:pPr>
            <w:r>
              <w:rPr>
                <w:sz w:val="18"/>
              </w:rPr>
              <w:t>124</w:t>
            </w:r>
          </w:p>
        </w:tc>
        <w:tc>
          <w:tcPr>
            <w:tcW w:w="1860" w:type="dxa"/>
            <w:tcMar>
              <w:top w:w="0" w:type="dxa"/>
              <w:bottom w:w="0" w:type="dxa"/>
            </w:tcMar>
            <w:vAlign w:val="center"/>
          </w:tcPr>
          <w:p w:rsidR="00FF19F7" w:rsidRDefault="00B04BC2">
            <w:pPr>
              <w:keepNext/>
              <w:keepLines/>
              <w:spacing w:after="0" w:line="240" w:lineRule="auto"/>
              <w:jc w:val="right"/>
            </w:pPr>
            <w:r>
              <w:rPr>
                <w:sz w:val="18"/>
              </w:rPr>
              <w:t>0,00</w:t>
            </w:r>
          </w:p>
        </w:tc>
        <w:tc>
          <w:tcPr>
            <w:tcW w:w="1860" w:type="dxa"/>
            <w:tcMar>
              <w:top w:w="0" w:type="dxa"/>
              <w:bottom w:w="0" w:type="dxa"/>
            </w:tcMar>
            <w:vAlign w:val="center"/>
          </w:tcPr>
          <w:p w:rsidR="00FF19F7" w:rsidRDefault="00B04BC2">
            <w:pPr>
              <w:keepNext/>
              <w:keepLines/>
              <w:spacing w:after="0" w:line="240" w:lineRule="auto"/>
              <w:jc w:val="right"/>
            </w:pPr>
            <w:r>
              <w:rPr>
                <w:sz w:val="18"/>
              </w:rPr>
              <w:t>547,72</w:t>
            </w:r>
          </w:p>
        </w:tc>
        <w:tc>
          <w:tcPr>
            <w:tcW w:w="700" w:type="dxa"/>
            <w:tcMar>
              <w:top w:w="0" w:type="dxa"/>
              <w:bottom w:w="0" w:type="dxa"/>
            </w:tcMar>
            <w:vAlign w:val="center"/>
          </w:tcPr>
          <w:p w:rsidR="00FF19F7" w:rsidRDefault="00B04BC2">
            <w:pPr>
              <w:keepNext/>
              <w:keepLines/>
              <w:spacing w:after="0" w:line="240" w:lineRule="auto"/>
              <w:jc w:val="right"/>
            </w:pPr>
            <w:r>
              <w:rPr>
                <w:sz w:val="18"/>
              </w:rPr>
              <w:t>-</w:t>
            </w:r>
          </w:p>
        </w:tc>
      </w:tr>
    </w:tbl>
    <w:p w:rsidR="00FF19F7" w:rsidRDefault="00FF19F7">
      <w:pPr>
        <w:spacing w:after="0"/>
      </w:pPr>
    </w:p>
    <w:p w:rsidR="00FF19F7" w:rsidRDefault="00B04BC2">
      <w:r>
        <w:t xml:space="preserve">Prema godišnjem obračunu poreza na dohodak nastala su potraživanja za više plaćeni porez. (radi se o zaposlenici koja je na korištenu </w:t>
      </w:r>
      <w:proofErr w:type="spellStart"/>
      <w:r>
        <w:t>po</w:t>
      </w:r>
      <w:r>
        <w:t>rodiljnog</w:t>
      </w:r>
      <w:proofErr w:type="spellEnd"/>
      <w:r>
        <w:t xml:space="preserve"> dopusta) </w:t>
      </w:r>
    </w:p>
    <w:p w:rsidR="00FF19F7" w:rsidRDefault="00FF19F7"/>
    <w:p w:rsidR="00FF19F7" w:rsidRDefault="00B04BC2">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r>
              <w:rPr>
                <w:b/>
                <w:sz w:val="18"/>
              </w:rPr>
              <w:t>%)</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16</w:t>
            </w:r>
          </w:p>
        </w:tc>
        <w:tc>
          <w:tcPr>
            <w:tcW w:w="3180" w:type="dxa"/>
            <w:tcMar>
              <w:top w:w="0" w:type="dxa"/>
              <w:bottom w:w="0" w:type="dxa"/>
            </w:tcMar>
            <w:vAlign w:val="center"/>
          </w:tcPr>
          <w:p w:rsidR="00FF19F7" w:rsidRDefault="00B04BC2">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rsidR="00FF19F7" w:rsidRDefault="00B04BC2">
            <w:pPr>
              <w:keepNext/>
              <w:keepLines/>
              <w:spacing w:after="0" w:line="240" w:lineRule="auto"/>
            </w:pPr>
            <w:r>
              <w:rPr>
                <w:sz w:val="18"/>
              </w:rPr>
              <w:t>16</w:t>
            </w:r>
          </w:p>
        </w:tc>
        <w:tc>
          <w:tcPr>
            <w:tcW w:w="1860" w:type="dxa"/>
            <w:tcMar>
              <w:top w:w="0" w:type="dxa"/>
              <w:bottom w:w="0" w:type="dxa"/>
            </w:tcMar>
            <w:vAlign w:val="center"/>
          </w:tcPr>
          <w:p w:rsidR="00FF19F7" w:rsidRDefault="00B04BC2">
            <w:pPr>
              <w:keepNext/>
              <w:keepLines/>
              <w:spacing w:after="0" w:line="240" w:lineRule="auto"/>
              <w:jc w:val="right"/>
            </w:pPr>
            <w:r>
              <w:rPr>
                <w:sz w:val="18"/>
              </w:rPr>
              <w:t>1.733,95</w:t>
            </w:r>
          </w:p>
        </w:tc>
        <w:tc>
          <w:tcPr>
            <w:tcW w:w="1860" w:type="dxa"/>
            <w:tcMar>
              <w:top w:w="0" w:type="dxa"/>
              <w:bottom w:w="0" w:type="dxa"/>
            </w:tcMar>
            <w:vAlign w:val="center"/>
          </w:tcPr>
          <w:p w:rsidR="00FF19F7" w:rsidRDefault="00B04BC2">
            <w:pPr>
              <w:keepNext/>
              <w:keepLines/>
              <w:spacing w:after="0" w:line="240" w:lineRule="auto"/>
              <w:jc w:val="right"/>
            </w:pPr>
            <w:r>
              <w:rPr>
                <w:sz w:val="18"/>
              </w:rPr>
              <w:t>58.441,08</w:t>
            </w:r>
          </w:p>
        </w:tc>
        <w:tc>
          <w:tcPr>
            <w:tcW w:w="700" w:type="dxa"/>
            <w:tcMar>
              <w:top w:w="0" w:type="dxa"/>
              <w:bottom w:w="0" w:type="dxa"/>
            </w:tcMar>
            <w:vAlign w:val="center"/>
          </w:tcPr>
          <w:p w:rsidR="00FF19F7" w:rsidRDefault="00B04BC2">
            <w:pPr>
              <w:keepNext/>
              <w:keepLines/>
              <w:spacing w:after="0" w:line="240" w:lineRule="auto"/>
              <w:jc w:val="right"/>
            </w:pPr>
            <w:r>
              <w:rPr>
                <w:sz w:val="18"/>
              </w:rPr>
              <w:t>3370,4</w:t>
            </w:r>
          </w:p>
        </w:tc>
      </w:tr>
    </w:tbl>
    <w:p w:rsidR="00FF19F7" w:rsidRDefault="00FF19F7">
      <w:pPr>
        <w:spacing w:after="0"/>
      </w:pPr>
    </w:p>
    <w:p w:rsidR="00FF19F7" w:rsidRDefault="00B04BC2">
      <w:r>
        <w:lastRenderedPageBreak/>
        <w:t>Potraživanja za prihode poslovanja na dan 31. prosinca 2025. godine iznose 58.441,08 eura, što predstavlja znatno povećanje u odnosu na početno stanje. Povećanje je posljedica promjena u načinu evidentiranja potraživanja za plaće zaposlenika. </w:t>
      </w:r>
    </w:p>
    <w:p w:rsidR="00FF19F7" w:rsidRDefault="00FF19F7"/>
    <w:p w:rsidR="00FF19F7" w:rsidRDefault="00B04BC2">
      <w:pPr>
        <w:keepNext/>
        <w:spacing w:line="240" w:lineRule="auto"/>
        <w:jc w:val="center"/>
      </w:pPr>
      <w:r>
        <w:rPr>
          <w:sz w:val="28"/>
        </w:rPr>
        <w:t>Bilješka 29</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165</w:t>
            </w:r>
          </w:p>
        </w:tc>
        <w:tc>
          <w:tcPr>
            <w:tcW w:w="3180" w:type="dxa"/>
            <w:tcMar>
              <w:top w:w="0" w:type="dxa"/>
              <w:bottom w:w="0" w:type="dxa"/>
            </w:tcMar>
            <w:vAlign w:val="center"/>
          </w:tcPr>
          <w:p w:rsidR="00FF19F7" w:rsidRDefault="00B04BC2">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rsidR="00FF19F7" w:rsidRDefault="00B04BC2">
            <w:pPr>
              <w:keepNext/>
              <w:keepLines/>
              <w:spacing w:after="0" w:line="240" w:lineRule="auto"/>
            </w:pPr>
            <w:r>
              <w:rPr>
                <w:sz w:val="18"/>
              </w:rPr>
              <w:t>165</w:t>
            </w:r>
          </w:p>
        </w:tc>
        <w:tc>
          <w:tcPr>
            <w:tcW w:w="1860" w:type="dxa"/>
            <w:tcMar>
              <w:top w:w="0" w:type="dxa"/>
              <w:bottom w:w="0" w:type="dxa"/>
            </w:tcMar>
            <w:vAlign w:val="center"/>
          </w:tcPr>
          <w:p w:rsidR="00FF19F7" w:rsidRDefault="00B04BC2">
            <w:pPr>
              <w:keepNext/>
              <w:keepLines/>
              <w:spacing w:after="0" w:line="240" w:lineRule="auto"/>
              <w:jc w:val="right"/>
            </w:pPr>
            <w:r>
              <w:rPr>
                <w:sz w:val="18"/>
              </w:rPr>
              <w:t>1.488,95</w:t>
            </w:r>
          </w:p>
        </w:tc>
        <w:tc>
          <w:tcPr>
            <w:tcW w:w="1860" w:type="dxa"/>
            <w:tcMar>
              <w:top w:w="0" w:type="dxa"/>
              <w:bottom w:w="0" w:type="dxa"/>
            </w:tcMar>
            <w:vAlign w:val="center"/>
          </w:tcPr>
          <w:p w:rsidR="00FF19F7" w:rsidRDefault="00B04BC2">
            <w:pPr>
              <w:keepNext/>
              <w:keepLines/>
              <w:spacing w:after="0" w:line="240" w:lineRule="auto"/>
              <w:jc w:val="right"/>
            </w:pPr>
            <w:r>
              <w:rPr>
                <w:sz w:val="18"/>
              </w:rPr>
              <w:t>1.853,00</w:t>
            </w:r>
          </w:p>
        </w:tc>
        <w:tc>
          <w:tcPr>
            <w:tcW w:w="700" w:type="dxa"/>
            <w:tcMar>
              <w:top w:w="0" w:type="dxa"/>
              <w:bottom w:w="0" w:type="dxa"/>
            </w:tcMar>
            <w:vAlign w:val="center"/>
          </w:tcPr>
          <w:p w:rsidR="00FF19F7" w:rsidRDefault="00B04BC2">
            <w:pPr>
              <w:keepNext/>
              <w:keepLines/>
              <w:spacing w:after="0" w:line="240" w:lineRule="auto"/>
              <w:jc w:val="right"/>
            </w:pPr>
            <w:r>
              <w:rPr>
                <w:sz w:val="18"/>
              </w:rPr>
              <w:t>124,5</w:t>
            </w:r>
          </w:p>
        </w:tc>
      </w:tr>
    </w:tbl>
    <w:p w:rsidR="00FF19F7" w:rsidRDefault="00FF19F7">
      <w:pPr>
        <w:spacing w:after="0"/>
      </w:pPr>
    </w:p>
    <w:p w:rsidR="00FF19F7" w:rsidRDefault="00B04BC2">
      <w:r>
        <w:t>Potraživanja za upravne i administrativne pristojbe, pristojbe po posebnim propisima i naknade na dan 31. prosinca 2025. godine iznose 1.853,00 eura, što predstavlja povećanje od 24,5 % u odnosu na stanje na dan 1. siječnja 2025. godine. Povećanje je rezul</w:t>
      </w:r>
      <w:r>
        <w:t>tat većeg broja upisanih učenika u produženi boravak te povećanja cijene usluge.</w:t>
      </w:r>
    </w:p>
    <w:p w:rsidR="00FF19F7" w:rsidRDefault="00FF19F7"/>
    <w:p w:rsidR="00FF19F7" w:rsidRDefault="00B04BC2">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166</w:t>
            </w:r>
          </w:p>
        </w:tc>
        <w:tc>
          <w:tcPr>
            <w:tcW w:w="3180" w:type="dxa"/>
            <w:tcMar>
              <w:top w:w="0" w:type="dxa"/>
              <w:bottom w:w="0" w:type="dxa"/>
            </w:tcMar>
            <w:vAlign w:val="center"/>
          </w:tcPr>
          <w:p w:rsidR="00FF19F7" w:rsidRDefault="00B04BC2">
            <w:pPr>
              <w:keepNext/>
              <w:keepLines/>
              <w:spacing w:after="0" w:line="240" w:lineRule="auto"/>
            </w:pPr>
            <w:r>
              <w:rPr>
                <w:sz w:val="18"/>
              </w:rPr>
              <w:t xml:space="preserve">Potraživanja za prihode od prodaje proizvoda i robe te pruženih </w:t>
            </w:r>
            <w:r>
              <w:rPr>
                <w:sz w:val="18"/>
              </w:rPr>
              <w:t>usluga i za povrat po protestiranim jamstvima</w:t>
            </w:r>
          </w:p>
        </w:tc>
        <w:tc>
          <w:tcPr>
            <w:tcW w:w="700" w:type="dxa"/>
            <w:tcMar>
              <w:top w:w="0" w:type="dxa"/>
              <w:bottom w:w="0" w:type="dxa"/>
            </w:tcMar>
            <w:vAlign w:val="center"/>
          </w:tcPr>
          <w:p w:rsidR="00FF19F7" w:rsidRDefault="00B04BC2">
            <w:pPr>
              <w:keepNext/>
              <w:keepLines/>
              <w:spacing w:after="0" w:line="240" w:lineRule="auto"/>
            </w:pPr>
            <w:r>
              <w:rPr>
                <w:sz w:val="18"/>
              </w:rPr>
              <w:t>166</w:t>
            </w:r>
          </w:p>
        </w:tc>
        <w:tc>
          <w:tcPr>
            <w:tcW w:w="1860" w:type="dxa"/>
            <w:tcMar>
              <w:top w:w="0" w:type="dxa"/>
              <w:bottom w:w="0" w:type="dxa"/>
            </w:tcMar>
            <w:vAlign w:val="center"/>
          </w:tcPr>
          <w:p w:rsidR="00FF19F7" w:rsidRDefault="00B04BC2">
            <w:pPr>
              <w:keepNext/>
              <w:keepLines/>
              <w:spacing w:after="0" w:line="240" w:lineRule="auto"/>
              <w:jc w:val="right"/>
            </w:pPr>
            <w:r>
              <w:rPr>
                <w:sz w:val="18"/>
              </w:rPr>
              <w:t>245,00</w:t>
            </w:r>
          </w:p>
        </w:tc>
        <w:tc>
          <w:tcPr>
            <w:tcW w:w="1860" w:type="dxa"/>
            <w:tcMar>
              <w:top w:w="0" w:type="dxa"/>
              <w:bottom w:w="0" w:type="dxa"/>
            </w:tcMar>
            <w:vAlign w:val="center"/>
          </w:tcPr>
          <w:p w:rsidR="00FF19F7" w:rsidRDefault="00B04BC2">
            <w:pPr>
              <w:keepNext/>
              <w:keepLines/>
              <w:spacing w:after="0" w:line="240" w:lineRule="auto"/>
              <w:jc w:val="right"/>
            </w:pPr>
            <w:r>
              <w:rPr>
                <w:sz w:val="18"/>
              </w:rPr>
              <w:t>120,00</w:t>
            </w:r>
          </w:p>
        </w:tc>
        <w:tc>
          <w:tcPr>
            <w:tcW w:w="700" w:type="dxa"/>
            <w:tcMar>
              <w:top w:w="0" w:type="dxa"/>
              <w:bottom w:w="0" w:type="dxa"/>
            </w:tcMar>
            <w:vAlign w:val="center"/>
          </w:tcPr>
          <w:p w:rsidR="00FF19F7" w:rsidRDefault="00B04BC2">
            <w:pPr>
              <w:keepNext/>
              <w:keepLines/>
              <w:spacing w:after="0" w:line="240" w:lineRule="auto"/>
              <w:jc w:val="right"/>
            </w:pPr>
            <w:r>
              <w:rPr>
                <w:sz w:val="18"/>
              </w:rPr>
              <w:t>49,0</w:t>
            </w:r>
          </w:p>
        </w:tc>
      </w:tr>
    </w:tbl>
    <w:p w:rsidR="00FF19F7" w:rsidRDefault="00FF19F7">
      <w:pPr>
        <w:spacing w:after="0"/>
      </w:pPr>
    </w:p>
    <w:p w:rsidR="00FF19F7" w:rsidRDefault="00B04BC2">
      <w:r>
        <w:t>Potraživanja za prihode od prodaje proizvoda i robe te pruženih usluga odnose se na potraživanja za prihode od najma učionice za provođenje nastave stranog jezika za mjesec prosinac 2025. godine, čije je dospijeće naplate u mjesecu siječnju 2026. godine.</w:t>
      </w:r>
    </w:p>
    <w:p w:rsidR="00FF19F7" w:rsidRDefault="00FF19F7"/>
    <w:p w:rsidR="00FF19F7" w:rsidRDefault="00B04BC2">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232</w:t>
            </w:r>
          </w:p>
        </w:tc>
        <w:tc>
          <w:tcPr>
            <w:tcW w:w="3180" w:type="dxa"/>
            <w:tcMar>
              <w:top w:w="0" w:type="dxa"/>
              <w:bottom w:w="0" w:type="dxa"/>
            </w:tcMar>
            <w:vAlign w:val="center"/>
          </w:tcPr>
          <w:p w:rsidR="00FF19F7" w:rsidRDefault="00B04BC2">
            <w:pPr>
              <w:keepNext/>
              <w:keepLines/>
              <w:spacing w:after="0" w:line="240" w:lineRule="auto"/>
            </w:pPr>
            <w:r>
              <w:rPr>
                <w:sz w:val="18"/>
              </w:rPr>
              <w:t>Obveze za materijalne rashode</w:t>
            </w:r>
          </w:p>
        </w:tc>
        <w:tc>
          <w:tcPr>
            <w:tcW w:w="700" w:type="dxa"/>
            <w:tcMar>
              <w:top w:w="0" w:type="dxa"/>
              <w:bottom w:w="0" w:type="dxa"/>
            </w:tcMar>
            <w:vAlign w:val="center"/>
          </w:tcPr>
          <w:p w:rsidR="00FF19F7" w:rsidRDefault="00B04BC2">
            <w:pPr>
              <w:keepNext/>
              <w:keepLines/>
              <w:spacing w:after="0" w:line="240" w:lineRule="auto"/>
            </w:pPr>
            <w:r>
              <w:rPr>
                <w:sz w:val="18"/>
              </w:rPr>
              <w:t>232</w:t>
            </w:r>
          </w:p>
        </w:tc>
        <w:tc>
          <w:tcPr>
            <w:tcW w:w="1860" w:type="dxa"/>
            <w:tcMar>
              <w:top w:w="0" w:type="dxa"/>
              <w:bottom w:w="0" w:type="dxa"/>
            </w:tcMar>
            <w:vAlign w:val="center"/>
          </w:tcPr>
          <w:p w:rsidR="00FF19F7" w:rsidRDefault="00B04BC2">
            <w:pPr>
              <w:keepNext/>
              <w:keepLines/>
              <w:spacing w:after="0" w:line="240" w:lineRule="auto"/>
              <w:jc w:val="right"/>
            </w:pPr>
            <w:r>
              <w:rPr>
                <w:sz w:val="18"/>
              </w:rPr>
              <w:t>5.581,54</w:t>
            </w:r>
          </w:p>
        </w:tc>
        <w:tc>
          <w:tcPr>
            <w:tcW w:w="1860" w:type="dxa"/>
            <w:tcMar>
              <w:top w:w="0" w:type="dxa"/>
              <w:bottom w:w="0" w:type="dxa"/>
            </w:tcMar>
            <w:vAlign w:val="center"/>
          </w:tcPr>
          <w:p w:rsidR="00FF19F7" w:rsidRDefault="00B04BC2">
            <w:pPr>
              <w:keepNext/>
              <w:keepLines/>
              <w:spacing w:after="0" w:line="240" w:lineRule="auto"/>
              <w:jc w:val="right"/>
            </w:pPr>
            <w:r>
              <w:rPr>
                <w:sz w:val="18"/>
              </w:rPr>
              <w:t>9.544,71</w:t>
            </w:r>
          </w:p>
        </w:tc>
        <w:tc>
          <w:tcPr>
            <w:tcW w:w="700" w:type="dxa"/>
            <w:tcMar>
              <w:top w:w="0" w:type="dxa"/>
              <w:bottom w:w="0" w:type="dxa"/>
            </w:tcMar>
            <w:vAlign w:val="center"/>
          </w:tcPr>
          <w:p w:rsidR="00FF19F7" w:rsidRDefault="00B04BC2">
            <w:pPr>
              <w:keepNext/>
              <w:keepLines/>
              <w:spacing w:after="0" w:line="240" w:lineRule="auto"/>
              <w:jc w:val="right"/>
            </w:pPr>
            <w:r>
              <w:rPr>
                <w:sz w:val="18"/>
              </w:rPr>
              <w:t>171,0</w:t>
            </w:r>
          </w:p>
        </w:tc>
      </w:tr>
    </w:tbl>
    <w:p w:rsidR="00FF19F7" w:rsidRDefault="00FF19F7">
      <w:pPr>
        <w:spacing w:after="0"/>
      </w:pPr>
    </w:p>
    <w:p w:rsidR="00FF19F7" w:rsidRDefault="00B04BC2">
      <w:r>
        <w:t>Obveze za materijalne rashode na dan 31. prosinca 2025. godine iznose 9.544,71 eura, što predstavlja povećanje od 71 % u odnosu na stanje na dan 1. siječnja 2025. godine. Povećanje obveza rezultat je većih ulaganja u rekonstrukciju ulaznih vrata, provedene</w:t>
      </w:r>
      <w:r>
        <w:t xml:space="preserve"> u skladu s Pravilnikom o sigurnosti školske ustanove, kao i ulaganja u opremanje učionica te nabave potrebnog materijala za nesmetano i kvalitetno odvijanje nastavnog procesa.</w:t>
      </w:r>
    </w:p>
    <w:p w:rsidR="00FF19F7" w:rsidRDefault="00FF19F7"/>
    <w:p w:rsidR="00FF19F7" w:rsidRDefault="00B04BC2">
      <w:pPr>
        <w:keepNext/>
        <w:spacing w:line="240" w:lineRule="auto"/>
        <w:jc w:val="center"/>
      </w:pPr>
      <w:r>
        <w:rPr>
          <w:sz w:val="28"/>
        </w:rPr>
        <w:lastRenderedPageBreak/>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3</w:t>
            </w:r>
            <w:r>
              <w:rPr>
                <w:b/>
                <w:sz w:val="18"/>
              </w:rPr>
              <w:t>1. prosinca</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242</w:t>
            </w:r>
          </w:p>
        </w:tc>
        <w:tc>
          <w:tcPr>
            <w:tcW w:w="3180" w:type="dxa"/>
            <w:tcMar>
              <w:top w:w="0" w:type="dxa"/>
              <w:bottom w:w="0" w:type="dxa"/>
            </w:tcMar>
            <w:vAlign w:val="center"/>
          </w:tcPr>
          <w:p w:rsidR="00FF19F7" w:rsidRDefault="00B04BC2">
            <w:pPr>
              <w:keepNext/>
              <w:keepLines/>
              <w:spacing w:after="0" w:line="240" w:lineRule="auto"/>
            </w:pPr>
            <w:r>
              <w:rPr>
                <w:sz w:val="18"/>
              </w:rPr>
              <w:t>Obveze za nabavu proizvedene dugotrajne imovine</w:t>
            </w:r>
          </w:p>
        </w:tc>
        <w:tc>
          <w:tcPr>
            <w:tcW w:w="700" w:type="dxa"/>
            <w:tcMar>
              <w:top w:w="0" w:type="dxa"/>
              <w:bottom w:w="0" w:type="dxa"/>
            </w:tcMar>
            <w:vAlign w:val="center"/>
          </w:tcPr>
          <w:p w:rsidR="00FF19F7" w:rsidRDefault="00B04BC2">
            <w:pPr>
              <w:keepNext/>
              <w:keepLines/>
              <w:spacing w:after="0" w:line="240" w:lineRule="auto"/>
            </w:pPr>
            <w:r>
              <w:rPr>
                <w:sz w:val="18"/>
              </w:rPr>
              <w:t>242</w:t>
            </w:r>
          </w:p>
        </w:tc>
        <w:tc>
          <w:tcPr>
            <w:tcW w:w="1860" w:type="dxa"/>
            <w:tcMar>
              <w:top w:w="0" w:type="dxa"/>
              <w:bottom w:w="0" w:type="dxa"/>
            </w:tcMar>
            <w:vAlign w:val="center"/>
          </w:tcPr>
          <w:p w:rsidR="00FF19F7" w:rsidRDefault="00B04BC2">
            <w:pPr>
              <w:keepNext/>
              <w:keepLines/>
              <w:spacing w:after="0" w:line="240" w:lineRule="auto"/>
              <w:jc w:val="right"/>
            </w:pPr>
            <w:r>
              <w:rPr>
                <w:sz w:val="18"/>
              </w:rPr>
              <w:t>0,00</w:t>
            </w:r>
          </w:p>
        </w:tc>
        <w:tc>
          <w:tcPr>
            <w:tcW w:w="1860" w:type="dxa"/>
            <w:tcMar>
              <w:top w:w="0" w:type="dxa"/>
              <w:bottom w:w="0" w:type="dxa"/>
            </w:tcMar>
            <w:vAlign w:val="center"/>
          </w:tcPr>
          <w:p w:rsidR="00FF19F7" w:rsidRDefault="00B04BC2">
            <w:pPr>
              <w:keepNext/>
              <w:keepLines/>
              <w:spacing w:after="0" w:line="240" w:lineRule="auto"/>
              <w:jc w:val="right"/>
            </w:pPr>
            <w:r>
              <w:rPr>
                <w:sz w:val="18"/>
              </w:rPr>
              <w:t>2.100,00</w:t>
            </w:r>
          </w:p>
        </w:tc>
        <w:tc>
          <w:tcPr>
            <w:tcW w:w="700" w:type="dxa"/>
            <w:tcMar>
              <w:top w:w="0" w:type="dxa"/>
              <w:bottom w:w="0" w:type="dxa"/>
            </w:tcMar>
            <w:vAlign w:val="center"/>
          </w:tcPr>
          <w:p w:rsidR="00FF19F7" w:rsidRDefault="00B04BC2">
            <w:pPr>
              <w:keepNext/>
              <w:keepLines/>
              <w:spacing w:after="0" w:line="240" w:lineRule="auto"/>
              <w:jc w:val="right"/>
            </w:pPr>
            <w:r>
              <w:rPr>
                <w:sz w:val="18"/>
              </w:rPr>
              <w:t>-</w:t>
            </w:r>
          </w:p>
        </w:tc>
      </w:tr>
    </w:tbl>
    <w:p w:rsidR="00FF19F7" w:rsidRDefault="00FF19F7">
      <w:pPr>
        <w:spacing w:after="0"/>
      </w:pPr>
    </w:p>
    <w:p w:rsidR="00FF19F7" w:rsidRDefault="00B04BC2">
      <w:r>
        <w:t>Na dan 31. prosinca 2025. godine evidentirano je stanje obveza za nabavu proizvedene dugotrajne imovine u iznosu od 2.100,00 eura, a odnosi se na nabavu pametne ploče za uči</w:t>
      </w:r>
      <w:r>
        <w:t>onicu prvog razreda. Dospijeće obveze je u siječnju 2026. godine.</w:t>
      </w:r>
    </w:p>
    <w:p w:rsidR="00FF19F7" w:rsidRDefault="00FF19F7"/>
    <w:p w:rsidR="00FF19F7" w:rsidRDefault="00B04BC2">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Raču</w:t>
            </w:r>
            <w:r>
              <w:rPr>
                <w:b/>
                <w:sz w:val="18"/>
              </w:rPr>
              <w:t xml:space="preserve">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27</w:t>
            </w:r>
          </w:p>
        </w:tc>
        <w:tc>
          <w:tcPr>
            <w:tcW w:w="3180" w:type="dxa"/>
            <w:tcMar>
              <w:top w:w="0" w:type="dxa"/>
              <w:bottom w:w="0" w:type="dxa"/>
            </w:tcMar>
            <w:vAlign w:val="center"/>
          </w:tcPr>
          <w:p w:rsidR="00FF19F7" w:rsidRDefault="00B04BC2">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rsidR="00FF19F7" w:rsidRDefault="00B04BC2">
            <w:pPr>
              <w:keepNext/>
              <w:keepLines/>
              <w:spacing w:after="0" w:line="240" w:lineRule="auto"/>
            </w:pPr>
            <w:r>
              <w:rPr>
                <w:sz w:val="18"/>
              </w:rPr>
              <w:t>27</w:t>
            </w:r>
          </w:p>
        </w:tc>
        <w:tc>
          <w:tcPr>
            <w:tcW w:w="1860" w:type="dxa"/>
            <w:tcMar>
              <w:top w:w="0" w:type="dxa"/>
              <w:bottom w:w="0" w:type="dxa"/>
            </w:tcMar>
            <w:vAlign w:val="center"/>
          </w:tcPr>
          <w:p w:rsidR="00FF19F7" w:rsidRDefault="00B04BC2">
            <w:pPr>
              <w:keepNext/>
              <w:keepLines/>
              <w:spacing w:after="0" w:line="240" w:lineRule="auto"/>
              <w:jc w:val="right"/>
            </w:pPr>
            <w:r>
              <w:rPr>
                <w:sz w:val="18"/>
              </w:rPr>
              <w:t>1.465,07</w:t>
            </w:r>
          </w:p>
        </w:tc>
        <w:tc>
          <w:tcPr>
            <w:tcW w:w="1860" w:type="dxa"/>
            <w:tcMar>
              <w:top w:w="0" w:type="dxa"/>
              <w:bottom w:w="0" w:type="dxa"/>
            </w:tcMar>
            <w:vAlign w:val="center"/>
          </w:tcPr>
          <w:p w:rsidR="00FF19F7" w:rsidRDefault="00B04BC2">
            <w:pPr>
              <w:keepNext/>
              <w:keepLines/>
              <w:spacing w:after="0" w:line="240" w:lineRule="auto"/>
              <w:jc w:val="right"/>
            </w:pPr>
            <w:r>
              <w:rPr>
                <w:sz w:val="18"/>
              </w:rPr>
              <w:t>1.165,64</w:t>
            </w:r>
          </w:p>
        </w:tc>
        <w:tc>
          <w:tcPr>
            <w:tcW w:w="700" w:type="dxa"/>
            <w:tcMar>
              <w:top w:w="0" w:type="dxa"/>
              <w:bottom w:w="0" w:type="dxa"/>
            </w:tcMar>
            <w:vAlign w:val="center"/>
          </w:tcPr>
          <w:p w:rsidR="00FF19F7" w:rsidRDefault="00B04BC2">
            <w:pPr>
              <w:keepNext/>
              <w:keepLines/>
              <w:spacing w:after="0" w:line="240" w:lineRule="auto"/>
              <w:jc w:val="right"/>
            </w:pPr>
            <w:r>
              <w:rPr>
                <w:sz w:val="18"/>
              </w:rPr>
              <w:t>79,6</w:t>
            </w:r>
          </w:p>
        </w:tc>
      </w:tr>
    </w:tbl>
    <w:p w:rsidR="00FF19F7" w:rsidRDefault="00FF19F7">
      <w:pPr>
        <w:spacing w:after="0"/>
      </w:pPr>
    </w:p>
    <w:p w:rsidR="00FF19F7" w:rsidRDefault="00B04BC2">
      <w:r>
        <w:t>Ukidanjem konta 23958 - Obveza proračunskih kori</w:t>
      </w:r>
      <w:r>
        <w:t>snika za povrat u proračun, naknade za bolovanje HZZO evidentirane su na kontu 27. Stanje na obveza proračunskih korisnika za po</w:t>
      </w:r>
      <w:r>
        <w:t>vrat u proračun iznosi 150,84 eura, a odnosi se na povrat poreza na dohodak prem</w:t>
      </w:r>
      <w:r>
        <w:t>a godišnjem obračunu, dok se ostatak odnosi na naknade za bolovanje koje refundira HZZO.</w:t>
      </w:r>
    </w:p>
    <w:p w:rsidR="00FF19F7" w:rsidRDefault="00FF19F7"/>
    <w:p w:rsidR="00FF19F7" w:rsidRDefault="00B04BC2">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922</w:t>
            </w:r>
          </w:p>
        </w:tc>
        <w:tc>
          <w:tcPr>
            <w:tcW w:w="3180" w:type="dxa"/>
            <w:tcMar>
              <w:top w:w="0" w:type="dxa"/>
              <w:bottom w:w="0" w:type="dxa"/>
            </w:tcMar>
            <w:vAlign w:val="center"/>
          </w:tcPr>
          <w:p w:rsidR="00FF19F7" w:rsidRDefault="00B04BC2">
            <w:pPr>
              <w:keepNext/>
              <w:keepLines/>
              <w:spacing w:after="0" w:line="240" w:lineRule="auto"/>
            </w:pPr>
            <w:r>
              <w:rPr>
                <w:sz w:val="18"/>
              </w:rPr>
              <w:t>Rezultat - višak/manjak (šifre 9221-9222)</w:t>
            </w:r>
          </w:p>
        </w:tc>
        <w:tc>
          <w:tcPr>
            <w:tcW w:w="700" w:type="dxa"/>
            <w:tcMar>
              <w:top w:w="0" w:type="dxa"/>
              <w:bottom w:w="0" w:type="dxa"/>
            </w:tcMar>
            <w:vAlign w:val="center"/>
          </w:tcPr>
          <w:p w:rsidR="00FF19F7" w:rsidRDefault="00B04BC2">
            <w:pPr>
              <w:keepNext/>
              <w:keepLines/>
              <w:spacing w:after="0" w:line="240" w:lineRule="auto"/>
            </w:pPr>
            <w:r>
              <w:rPr>
                <w:sz w:val="18"/>
              </w:rPr>
              <w:t>922</w:t>
            </w:r>
          </w:p>
        </w:tc>
        <w:tc>
          <w:tcPr>
            <w:tcW w:w="1860" w:type="dxa"/>
            <w:tcMar>
              <w:top w:w="0" w:type="dxa"/>
              <w:bottom w:w="0" w:type="dxa"/>
            </w:tcMar>
            <w:vAlign w:val="center"/>
          </w:tcPr>
          <w:p w:rsidR="00FF19F7" w:rsidRDefault="00B04BC2">
            <w:pPr>
              <w:keepNext/>
              <w:keepLines/>
              <w:spacing w:after="0" w:line="240" w:lineRule="auto"/>
              <w:jc w:val="right"/>
            </w:pPr>
            <w:r>
              <w:rPr>
                <w:sz w:val="18"/>
              </w:rPr>
              <w:t>8.370,84</w:t>
            </w:r>
          </w:p>
        </w:tc>
        <w:tc>
          <w:tcPr>
            <w:tcW w:w="1860" w:type="dxa"/>
            <w:tcMar>
              <w:top w:w="0" w:type="dxa"/>
              <w:bottom w:w="0" w:type="dxa"/>
            </w:tcMar>
            <w:vAlign w:val="center"/>
          </w:tcPr>
          <w:p w:rsidR="00FF19F7" w:rsidRDefault="00B04BC2">
            <w:pPr>
              <w:keepNext/>
              <w:keepLines/>
              <w:spacing w:after="0" w:line="240" w:lineRule="auto"/>
              <w:jc w:val="right"/>
            </w:pPr>
            <w:r>
              <w:rPr>
                <w:sz w:val="18"/>
              </w:rPr>
              <w:t>-51.587,76</w:t>
            </w:r>
          </w:p>
        </w:tc>
        <w:tc>
          <w:tcPr>
            <w:tcW w:w="700" w:type="dxa"/>
            <w:tcMar>
              <w:top w:w="0" w:type="dxa"/>
              <w:bottom w:w="0" w:type="dxa"/>
            </w:tcMar>
            <w:vAlign w:val="center"/>
          </w:tcPr>
          <w:p w:rsidR="00FF19F7" w:rsidRDefault="00B04BC2">
            <w:pPr>
              <w:keepNext/>
              <w:keepLines/>
              <w:spacing w:after="0" w:line="240" w:lineRule="auto"/>
              <w:jc w:val="right"/>
            </w:pPr>
            <w:r>
              <w:rPr>
                <w:sz w:val="18"/>
              </w:rPr>
              <w:t>-616,3</w:t>
            </w:r>
          </w:p>
        </w:tc>
      </w:tr>
    </w:tbl>
    <w:p w:rsidR="00FF19F7" w:rsidRDefault="00FF19F7">
      <w:pPr>
        <w:spacing w:after="0"/>
      </w:pPr>
    </w:p>
    <w:p w:rsidR="00FF19F7" w:rsidRDefault="00B04BC2">
      <w:r>
        <w:rPr>
          <w:b/>
          <w:i/>
        </w:rPr>
        <w:t>Ukupan rezulta</w:t>
      </w:r>
      <w:r>
        <w:rPr>
          <w:b/>
          <w:i/>
        </w:rPr>
        <w:t xml:space="preserve">t </w:t>
      </w:r>
      <w:r>
        <w:t xml:space="preserve">na šifri 922 uključuje preneseni rezultat prethodnog razdoblja i ostvareni rezultat tekuće godine te na dan 31. prosinca 2025. godine rezultat iznosi </w:t>
      </w:r>
      <w:r>
        <w:rPr>
          <w:b/>
          <w:i/>
        </w:rPr>
        <w:t>-51.587,76</w:t>
      </w:r>
      <w:r>
        <w:t>eura. Provedena je obvezna korekcija za kapitalne prihode prema čl. 82. Pravilnika o proračunskom računovodstvu, koji su iskorišteni za nabavu dugotrajne nefinancijske imovine i to u ukupnom iznosu od 22.824,86 eura ( 67121 Prihodi iz nadležnog proračuna z</w:t>
      </w:r>
      <w:r>
        <w:t>a financiranje rashoda za nabavu nefinancijske imovine: 22.398,53 eura  + 63622 Kapitalne pomoći proračunskim korisnicima iz proračuna koji im nije nadležan: 426,33 eura (udžbenici)). Prije korekcije ukupni prihodi poslovanja s uključenim prenesenim viškom</w:t>
      </w:r>
      <w:r>
        <w:t xml:space="preserve"> izno</w:t>
      </w:r>
      <w:r>
        <w:t xml:space="preserve">sili su -14.259,64 eura (vidljivo u izvještaju o prihodima i rashodima, primicima i izdacima). Nakon što je provedena obavezna korekcija, ostvareni je </w:t>
      </w:r>
      <w:r>
        <w:rPr>
          <w:b/>
          <w:i/>
        </w:rPr>
        <w:t>manjak prihoda poslovanja</w:t>
      </w:r>
      <w:r>
        <w:t xml:space="preserve"> u iznosu od </w:t>
      </w:r>
      <w:r>
        <w:rPr>
          <w:b/>
          <w:i/>
        </w:rPr>
        <w:t>-37.084,50 eura</w:t>
      </w:r>
      <w:r>
        <w:t>. Manjak prihoda od nefinancijske imovine s prene</w:t>
      </w:r>
      <w:r>
        <w:t>senim manjkom od prethodne godine prije korekcije iznosi -37.328,12 eura (vidljivo u izvještaju o prihodi</w:t>
      </w:r>
      <w:r>
        <w:t>ma</w:t>
      </w:r>
      <w:bookmarkStart w:id="0" w:name="_GoBack"/>
      <w:bookmarkEnd w:id="0"/>
      <w:r>
        <w:t xml:space="preserve"> i rashodima). Nakon što je provedena obvezana korekcija za kapitalne prihode, </w:t>
      </w:r>
      <w:r>
        <w:rPr>
          <w:b/>
          <w:i/>
        </w:rPr>
        <w:t>manjak prihoda od nefinancijske imovine iznosi -14.503,26 eura</w:t>
      </w:r>
      <w:r>
        <w:t>.</w:t>
      </w:r>
    </w:p>
    <w:p w:rsidR="00FF19F7" w:rsidRDefault="00B04BC2">
      <w:r>
        <w:lastRenderedPageBreak/>
        <w:t>Ostvar</w:t>
      </w:r>
      <w:r>
        <w:t>eni manjak planira se pokriti sredstvima osnivača, namijenjenim za materijalne rashode, te sredstvima iz državnog proračuna za pokriće rashoda za zaposlene i nabavu namirnica za školsku kuhinju.</w:t>
      </w:r>
    </w:p>
    <w:p w:rsidR="00FF19F7" w:rsidRDefault="00B04BC2">
      <w:r>
        <w:t> </w:t>
      </w:r>
    </w:p>
    <w:p w:rsidR="00FF19F7" w:rsidRDefault="00FF19F7"/>
    <w:p w:rsidR="00FF19F7" w:rsidRDefault="00B04BC2">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Stanje </w:t>
            </w:r>
            <w:r>
              <w:rPr>
                <w:b/>
                <w:sz w:val="18"/>
              </w:rPr>
              <w:t>1. siječnja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96</w:t>
            </w:r>
          </w:p>
        </w:tc>
        <w:tc>
          <w:tcPr>
            <w:tcW w:w="3180" w:type="dxa"/>
            <w:tcMar>
              <w:top w:w="0" w:type="dxa"/>
              <w:bottom w:w="0" w:type="dxa"/>
            </w:tcMar>
            <w:vAlign w:val="center"/>
          </w:tcPr>
          <w:p w:rsidR="00FF19F7" w:rsidRDefault="00B04BC2">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rsidR="00FF19F7" w:rsidRDefault="00B04BC2">
            <w:pPr>
              <w:keepNext/>
              <w:keepLines/>
              <w:spacing w:after="0" w:line="240" w:lineRule="auto"/>
            </w:pPr>
            <w:r>
              <w:rPr>
                <w:sz w:val="18"/>
              </w:rPr>
              <w:t>96</w:t>
            </w:r>
          </w:p>
        </w:tc>
        <w:tc>
          <w:tcPr>
            <w:tcW w:w="1860" w:type="dxa"/>
            <w:tcMar>
              <w:top w:w="0" w:type="dxa"/>
              <w:bottom w:w="0" w:type="dxa"/>
            </w:tcMar>
            <w:vAlign w:val="center"/>
          </w:tcPr>
          <w:p w:rsidR="00FF19F7" w:rsidRDefault="00B04BC2">
            <w:pPr>
              <w:keepNext/>
              <w:keepLines/>
              <w:spacing w:after="0" w:line="240" w:lineRule="auto"/>
              <w:jc w:val="right"/>
            </w:pPr>
            <w:r>
              <w:rPr>
                <w:sz w:val="18"/>
              </w:rPr>
              <w:t>1.733,95</w:t>
            </w:r>
          </w:p>
        </w:tc>
        <w:tc>
          <w:tcPr>
            <w:tcW w:w="1860" w:type="dxa"/>
            <w:tcMar>
              <w:top w:w="0" w:type="dxa"/>
              <w:bottom w:w="0" w:type="dxa"/>
            </w:tcMar>
            <w:vAlign w:val="center"/>
          </w:tcPr>
          <w:p w:rsidR="00FF19F7" w:rsidRDefault="00B04BC2">
            <w:pPr>
              <w:keepNext/>
              <w:keepLines/>
              <w:spacing w:after="0" w:line="240" w:lineRule="auto"/>
              <w:jc w:val="right"/>
            </w:pPr>
            <w:r>
              <w:rPr>
                <w:sz w:val="18"/>
              </w:rPr>
              <w:t>58.441,08</w:t>
            </w:r>
          </w:p>
        </w:tc>
        <w:tc>
          <w:tcPr>
            <w:tcW w:w="700" w:type="dxa"/>
            <w:tcMar>
              <w:top w:w="0" w:type="dxa"/>
              <w:bottom w:w="0" w:type="dxa"/>
            </w:tcMar>
            <w:vAlign w:val="center"/>
          </w:tcPr>
          <w:p w:rsidR="00FF19F7" w:rsidRDefault="00B04BC2">
            <w:pPr>
              <w:keepNext/>
              <w:keepLines/>
              <w:spacing w:after="0" w:line="240" w:lineRule="auto"/>
              <w:jc w:val="right"/>
            </w:pPr>
            <w:r>
              <w:rPr>
                <w:sz w:val="18"/>
              </w:rPr>
              <w:t>3370,4</w:t>
            </w:r>
          </w:p>
        </w:tc>
      </w:tr>
    </w:tbl>
    <w:p w:rsidR="00FF19F7" w:rsidRDefault="00FF19F7">
      <w:pPr>
        <w:spacing w:after="0"/>
      </w:pPr>
    </w:p>
    <w:p w:rsidR="00FF19F7" w:rsidRDefault="00B04BC2">
      <w:r>
        <w:t xml:space="preserve">Obračunati prihodi poslovanja na dan 31. prosinca 2025. godine iznose 58.441,08 eura, što predstavlja znatno povećanje u odnosu na stanje na dan 1. siječnja 2025. godine. Povećanje je rezultat promjena u načinu evidentiranja prihoda za plaće i materijalna </w:t>
      </w:r>
      <w:r>
        <w:t>prava zaposlenika.</w:t>
      </w:r>
    </w:p>
    <w:p w:rsidR="00FF19F7" w:rsidRDefault="00FF19F7"/>
    <w:p w:rsidR="00FF19F7" w:rsidRDefault="00B04BC2">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963</w:t>
            </w:r>
          </w:p>
        </w:tc>
        <w:tc>
          <w:tcPr>
            <w:tcW w:w="3180" w:type="dxa"/>
            <w:tcMar>
              <w:top w:w="0" w:type="dxa"/>
              <w:bottom w:w="0" w:type="dxa"/>
            </w:tcMar>
            <w:vAlign w:val="center"/>
          </w:tcPr>
          <w:p w:rsidR="00FF19F7" w:rsidRDefault="00B04BC2">
            <w:pPr>
              <w:keepNext/>
              <w:keepLines/>
              <w:spacing w:after="0" w:line="240" w:lineRule="auto"/>
            </w:pPr>
            <w:r>
              <w:rPr>
                <w:sz w:val="18"/>
              </w:rPr>
              <w:t>Obračunate pomoći iz inozemstva i od subjekata unutar općeg proračuna (šifre 9631 do 9638)</w:t>
            </w:r>
          </w:p>
        </w:tc>
        <w:tc>
          <w:tcPr>
            <w:tcW w:w="700" w:type="dxa"/>
            <w:tcMar>
              <w:top w:w="0" w:type="dxa"/>
              <w:bottom w:w="0" w:type="dxa"/>
            </w:tcMar>
            <w:vAlign w:val="center"/>
          </w:tcPr>
          <w:p w:rsidR="00FF19F7" w:rsidRDefault="00B04BC2">
            <w:pPr>
              <w:keepNext/>
              <w:keepLines/>
              <w:spacing w:after="0" w:line="240" w:lineRule="auto"/>
            </w:pPr>
            <w:r>
              <w:rPr>
                <w:sz w:val="18"/>
              </w:rPr>
              <w:t>963</w:t>
            </w:r>
          </w:p>
        </w:tc>
        <w:tc>
          <w:tcPr>
            <w:tcW w:w="1860" w:type="dxa"/>
            <w:tcMar>
              <w:top w:w="0" w:type="dxa"/>
              <w:bottom w:w="0" w:type="dxa"/>
            </w:tcMar>
            <w:vAlign w:val="center"/>
          </w:tcPr>
          <w:p w:rsidR="00FF19F7" w:rsidRDefault="00B04BC2">
            <w:pPr>
              <w:keepNext/>
              <w:keepLines/>
              <w:spacing w:after="0" w:line="240" w:lineRule="auto"/>
              <w:jc w:val="right"/>
            </w:pPr>
            <w:r>
              <w:rPr>
                <w:sz w:val="18"/>
              </w:rPr>
              <w:t>0,00</w:t>
            </w:r>
          </w:p>
        </w:tc>
        <w:tc>
          <w:tcPr>
            <w:tcW w:w="1860" w:type="dxa"/>
            <w:tcMar>
              <w:top w:w="0" w:type="dxa"/>
              <w:bottom w:w="0" w:type="dxa"/>
            </w:tcMar>
            <w:vAlign w:val="center"/>
          </w:tcPr>
          <w:p w:rsidR="00FF19F7" w:rsidRDefault="00B04BC2">
            <w:pPr>
              <w:keepNext/>
              <w:keepLines/>
              <w:spacing w:after="0" w:line="240" w:lineRule="auto"/>
              <w:jc w:val="right"/>
            </w:pPr>
            <w:r>
              <w:rPr>
                <w:sz w:val="18"/>
              </w:rPr>
              <w:t>56.468,08</w:t>
            </w:r>
          </w:p>
        </w:tc>
        <w:tc>
          <w:tcPr>
            <w:tcW w:w="700" w:type="dxa"/>
            <w:tcMar>
              <w:top w:w="0" w:type="dxa"/>
              <w:bottom w:w="0" w:type="dxa"/>
            </w:tcMar>
            <w:vAlign w:val="center"/>
          </w:tcPr>
          <w:p w:rsidR="00FF19F7" w:rsidRDefault="00B04BC2">
            <w:pPr>
              <w:keepNext/>
              <w:keepLines/>
              <w:spacing w:after="0" w:line="240" w:lineRule="auto"/>
              <w:jc w:val="right"/>
            </w:pPr>
            <w:r>
              <w:rPr>
                <w:sz w:val="18"/>
              </w:rPr>
              <w:t>-</w:t>
            </w:r>
          </w:p>
        </w:tc>
      </w:tr>
    </w:tbl>
    <w:p w:rsidR="00FF19F7" w:rsidRDefault="00FF19F7">
      <w:pPr>
        <w:spacing w:after="0"/>
      </w:pPr>
    </w:p>
    <w:p w:rsidR="00FF19F7" w:rsidRDefault="00B04BC2">
      <w:r>
        <w:t>Obračunate pomoći iz inozemstva i od subjekata unutar općeg proračuna iznose 56.468,08 eura na dan 31. prosinca 2025. godine. Navedeni iznos odnosi se na plaće za mjesec prosinac 2025. godine, materijalna prava zaposlenika te prehranu učenika za mjesec pro</w:t>
      </w:r>
      <w:r>
        <w:t>sinac, čija će naplata biti izvršena u siječnju 2026. godine.</w:t>
      </w:r>
    </w:p>
    <w:p w:rsidR="00FF19F7" w:rsidRDefault="00FF19F7"/>
    <w:p w:rsidR="00FF19F7" w:rsidRDefault="00B04BC2">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965</w:t>
            </w:r>
          </w:p>
        </w:tc>
        <w:tc>
          <w:tcPr>
            <w:tcW w:w="3180" w:type="dxa"/>
            <w:tcMar>
              <w:top w:w="0" w:type="dxa"/>
              <w:bottom w:w="0" w:type="dxa"/>
            </w:tcMar>
            <w:vAlign w:val="center"/>
          </w:tcPr>
          <w:p w:rsidR="00FF19F7" w:rsidRDefault="00B04BC2">
            <w:pPr>
              <w:keepNext/>
              <w:keepLines/>
              <w:spacing w:after="0" w:line="240" w:lineRule="auto"/>
            </w:pPr>
            <w:r>
              <w:rPr>
                <w:sz w:val="18"/>
              </w:rPr>
              <w:t xml:space="preserve">Obračunati prihodi od upravnih i administrativnih pristojbi, pristojbi po posebnim </w:t>
            </w:r>
            <w:r>
              <w:rPr>
                <w:sz w:val="18"/>
              </w:rPr>
              <w:t>propisima i naknada</w:t>
            </w:r>
          </w:p>
        </w:tc>
        <w:tc>
          <w:tcPr>
            <w:tcW w:w="700" w:type="dxa"/>
            <w:tcMar>
              <w:top w:w="0" w:type="dxa"/>
              <w:bottom w:w="0" w:type="dxa"/>
            </w:tcMar>
            <w:vAlign w:val="center"/>
          </w:tcPr>
          <w:p w:rsidR="00FF19F7" w:rsidRDefault="00B04BC2">
            <w:pPr>
              <w:keepNext/>
              <w:keepLines/>
              <w:spacing w:after="0" w:line="240" w:lineRule="auto"/>
            </w:pPr>
            <w:r>
              <w:rPr>
                <w:sz w:val="18"/>
              </w:rPr>
              <w:t>965</w:t>
            </w:r>
          </w:p>
        </w:tc>
        <w:tc>
          <w:tcPr>
            <w:tcW w:w="1860" w:type="dxa"/>
            <w:tcMar>
              <w:top w:w="0" w:type="dxa"/>
              <w:bottom w:w="0" w:type="dxa"/>
            </w:tcMar>
            <w:vAlign w:val="center"/>
          </w:tcPr>
          <w:p w:rsidR="00FF19F7" w:rsidRDefault="00B04BC2">
            <w:pPr>
              <w:keepNext/>
              <w:keepLines/>
              <w:spacing w:after="0" w:line="240" w:lineRule="auto"/>
              <w:jc w:val="right"/>
            </w:pPr>
            <w:r>
              <w:rPr>
                <w:sz w:val="18"/>
              </w:rPr>
              <w:t>1.488,95</w:t>
            </w:r>
          </w:p>
        </w:tc>
        <w:tc>
          <w:tcPr>
            <w:tcW w:w="1860" w:type="dxa"/>
            <w:tcMar>
              <w:top w:w="0" w:type="dxa"/>
              <w:bottom w:w="0" w:type="dxa"/>
            </w:tcMar>
            <w:vAlign w:val="center"/>
          </w:tcPr>
          <w:p w:rsidR="00FF19F7" w:rsidRDefault="00B04BC2">
            <w:pPr>
              <w:keepNext/>
              <w:keepLines/>
              <w:spacing w:after="0" w:line="240" w:lineRule="auto"/>
              <w:jc w:val="right"/>
            </w:pPr>
            <w:r>
              <w:rPr>
                <w:sz w:val="18"/>
              </w:rPr>
              <w:t>1.853,00</w:t>
            </w:r>
          </w:p>
        </w:tc>
        <w:tc>
          <w:tcPr>
            <w:tcW w:w="700" w:type="dxa"/>
            <w:tcMar>
              <w:top w:w="0" w:type="dxa"/>
              <w:bottom w:w="0" w:type="dxa"/>
            </w:tcMar>
            <w:vAlign w:val="center"/>
          </w:tcPr>
          <w:p w:rsidR="00FF19F7" w:rsidRDefault="00B04BC2">
            <w:pPr>
              <w:keepNext/>
              <w:keepLines/>
              <w:spacing w:after="0" w:line="240" w:lineRule="auto"/>
              <w:jc w:val="right"/>
            </w:pPr>
            <w:r>
              <w:rPr>
                <w:sz w:val="18"/>
              </w:rPr>
              <w:t>124,5</w:t>
            </w:r>
          </w:p>
        </w:tc>
      </w:tr>
    </w:tbl>
    <w:p w:rsidR="00FF19F7" w:rsidRDefault="00FF19F7">
      <w:pPr>
        <w:spacing w:after="0"/>
      </w:pPr>
    </w:p>
    <w:p w:rsidR="00FF19F7" w:rsidRDefault="00B04BC2">
      <w:r>
        <w:t>Obračunati prihodi od upravnih i administrativnih pristojbi, pristojbi po posebnim propisima i naknada odnose se na prihode ostvarene od uplata roditelja za financiranje usluge produženog boravka. Na dan 31. prosinca 2025. godine navedeni prihodi su veći z</w:t>
      </w:r>
      <w:r>
        <w:t>bog povećanja cijene usluge te povećanog broja upisanih učenika.</w:t>
      </w:r>
    </w:p>
    <w:p w:rsidR="00FF19F7" w:rsidRDefault="00FF19F7"/>
    <w:p w:rsidR="00FF19F7" w:rsidRDefault="00B04BC2">
      <w:pPr>
        <w:keepNext/>
        <w:spacing w:line="240" w:lineRule="auto"/>
        <w:jc w:val="center"/>
      </w:pPr>
      <w:r>
        <w:rPr>
          <w:sz w:val="28"/>
        </w:rPr>
        <w:lastRenderedPageBreak/>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966</w:t>
            </w:r>
          </w:p>
        </w:tc>
        <w:tc>
          <w:tcPr>
            <w:tcW w:w="3180" w:type="dxa"/>
            <w:tcMar>
              <w:top w:w="0" w:type="dxa"/>
              <w:bottom w:w="0" w:type="dxa"/>
            </w:tcMar>
            <w:vAlign w:val="center"/>
          </w:tcPr>
          <w:p w:rsidR="00FF19F7" w:rsidRDefault="00B04BC2">
            <w:pPr>
              <w:keepNext/>
              <w:keepLines/>
              <w:spacing w:after="0" w:line="240" w:lineRule="auto"/>
            </w:pPr>
            <w:r>
              <w:rPr>
                <w:sz w:val="18"/>
              </w:rPr>
              <w:t>Obračunati ostali prihodi</w:t>
            </w:r>
          </w:p>
        </w:tc>
        <w:tc>
          <w:tcPr>
            <w:tcW w:w="700" w:type="dxa"/>
            <w:tcMar>
              <w:top w:w="0" w:type="dxa"/>
              <w:bottom w:w="0" w:type="dxa"/>
            </w:tcMar>
            <w:vAlign w:val="center"/>
          </w:tcPr>
          <w:p w:rsidR="00FF19F7" w:rsidRDefault="00B04BC2">
            <w:pPr>
              <w:keepNext/>
              <w:keepLines/>
              <w:spacing w:after="0" w:line="240" w:lineRule="auto"/>
            </w:pPr>
            <w:r>
              <w:rPr>
                <w:sz w:val="18"/>
              </w:rPr>
              <w:t>966</w:t>
            </w:r>
          </w:p>
        </w:tc>
        <w:tc>
          <w:tcPr>
            <w:tcW w:w="1860" w:type="dxa"/>
            <w:tcMar>
              <w:top w:w="0" w:type="dxa"/>
              <w:bottom w:w="0" w:type="dxa"/>
            </w:tcMar>
            <w:vAlign w:val="center"/>
          </w:tcPr>
          <w:p w:rsidR="00FF19F7" w:rsidRDefault="00B04BC2">
            <w:pPr>
              <w:keepNext/>
              <w:keepLines/>
              <w:spacing w:after="0" w:line="240" w:lineRule="auto"/>
              <w:jc w:val="right"/>
            </w:pPr>
            <w:r>
              <w:rPr>
                <w:sz w:val="18"/>
              </w:rPr>
              <w:t>245,00</w:t>
            </w:r>
          </w:p>
        </w:tc>
        <w:tc>
          <w:tcPr>
            <w:tcW w:w="1860" w:type="dxa"/>
            <w:tcMar>
              <w:top w:w="0" w:type="dxa"/>
              <w:bottom w:w="0" w:type="dxa"/>
            </w:tcMar>
            <w:vAlign w:val="center"/>
          </w:tcPr>
          <w:p w:rsidR="00FF19F7" w:rsidRDefault="00B04BC2">
            <w:pPr>
              <w:keepNext/>
              <w:keepLines/>
              <w:spacing w:after="0" w:line="240" w:lineRule="auto"/>
              <w:jc w:val="right"/>
            </w:pPr>
            <w:r>
              <w:rPr>
                <w:sz w:val="18"/>
              </w:rPr>
              <w:t>120,00</w:t>
            </w:r>
          </w:p>
        </w:tc>
        <w:tc>
          <w:tcPr>
            <w:tcW w:w="700" w:type="dxa"/>
            <w:tcMar>
              <w:top w:w="0" w:type="dxa"/>
              <w:bottom w:w="0" w:type="dxa"/>
            </w:tcMar>
            <w:vAlign w:val="center"/>
          </w:tcPr>
          <w:p w:rsidR="00FF19F7" w:rsidRDefault="00B04BC2">
            <w:pPr>
              <w:keepNext/>
              <w:keepLines/>
              <w:spacing w:after="0" w:line="240" w:lineRule="auto"/>
              <w:jc w:val="right"/>
            </w:pPr>
            <w:r>
              <w:rPr>
                <w:sz w:val="18"/>
              </w:rPr>
              <w:t>49,0</w:t>
            </w:r>
          </w:p>
        </w:tc>
      </w:tr>
    </w:tbl>
    <w:p w:rsidR="00FF19F7" w:rsidRDefault="00FF19F7">
      <w:pPr>
        <w:spacing w:after="0"/>
      </w:pPr>
    </w:p>
    <w:p w:rsidR="00FF19F7" w:rsidRDefault="00B04BC2">
      <w:r>
        <w:t>Obračunati ostali prihodi na dan 31. prosinca 2025. godine iznose 120,00 eura i odnose se na najam učionice za izvođenje nastave stranog jezika za mjesec prosinac, čija će naplata biti izvršena u siječnju 2026. godine.</w:t>
      </w:r>
    </w:p>
    <w:p w:rsidR="00FF19F7" w:rsidRDefault="00FF19F7"/>
    <w:p w:rsidR="00FF19F7" w:rsidRDefault="00B04BC2">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w:t>
            </w:r>
            <w:r>
              <w:rPr>
                <w:b/>
                <w:sz w:val="18"/>
              </w:rPr>
              <w:t>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dio 16</w:t>
            </w:r>
          </w:p>
        </w:tc>
        <w:tc>
          <w:tcPr>
            <w:tcW w:w="3180" w:type="dxa"/>
            <w:tcMar>
              <w:top w:w="0" w:type="dxa"/>
              <w:bottom w:w="0" w:type="dxa"/>
            </w:tcMar>
            <w:vAlign w:val="center"/>
          </w:tcPr>
          <w:p w:rsidR="00FF19F7" w:rsidRDefault="00B04BC2">
            <w:pPr>
              <w:keepNext/>
              <w:keepLines/>
              <w:spacing w:after="0" w:line="240" w:lineRule="auto"/>
            </w:pPr>
            <w:r>
              <w:rPr>
                <w:sz w:val="18"/>
              </w:rPr>
              <w:t>Potraživanja za prihode poslovanja - potraživanja za zajedničke prihode</w:t>
            </w:r>
          </w:p>
        </w:tc>
        <w:tc>
          <w:tcPr>
            <w:tcW w:w="700" w:type="dxa"/>
            <w:tcMar>
              <w:top w:w="0" w:type="dxa"/>
              <w:bottom w:w="0" w:type="dxa"/>
            </w:tcMar>
            <w:vAlign w:val="center"/>
          </w:tcPr>
          <w:p w:rsidR="00FF19F7" w:rsidRDefault="00B04BC2">
            <w:pPr>
              <w:keepNext/>
              <w:keepLines/>
              <w:spacing w:after="0" w:line="240" w:lineRule="auto"/>
            </w:pPr>
            <w:r>
              <w:rPr>
                <w:sz w:val="18"/>
              </w:rPr>
              <w:t>dio 16 ZP</w:t>
            </w:r>
          </w:p>
        </w:tc>
        <w:tc>
          <w:tcPr>
            <w:tcW w:w="1860" w:type="dxa"/>
            <w:tcMar>
              <w:top w:w="0" w:type="dxa"/>
              <w:bottom w:w="0" w:type="dxa"/>
            </w:tcMar>
            <w:vAlign w:val="center"/>
          </w:tcPr>
          <w:p w:rsidR="00FF19F7" w:rsidRDefault="00B04BC2">
            <w:pPr>
              <w:keepNext/>
              <w:keepLines/>
              <w:spacing w:after="0" w:line="240" w:lineRule="auto"/>
              <w:jc w:val="right"/>
            </w:pPr>
            <w:r>
              <w:rPr>
                <w:sz w:val="18"/>
              </w:rPr>
              <w:t>1.733,95</w:t>
            </w:r>
          </w:p>
        </w:tc>
        <w:tc>
          <w:tcPr>
            <w:tcW w:w="1860" w:type="dxa"/>
            <w:tcMar>
              <w:top w:w="0" w:type="dxa"/>
              <w:bottom w:w="0" w:type="dxa"/>
            </w:tcMar>
            <w:vAlign w:val="center"/>
          </w:tcPr>
          <w:p w:rsidR="00FF19F7" w:rsidRDefault="00B04BC2">
            <w:pPr>
              <w:keepNext/>
              <w:keepLines/>
              <w:spacing w:after="0" w:line="240" w:lineRule="auto"/>
              <w:jc w:val="right"/>
            </w:pPr>
            <w:r>
              <w:rPr>
                <w:sz w:val="18"/>
              </w:rPr>
              <w:t>58.441,08</w:t>
            </w:r>
          </w:p>
        </w:tc>
        <w:tc>
          <w:tcPr>
            <w:tcW w:w="700" w:type="dxa"/>
            <w:tcMar>
              <w:top w:w="0" w:type="dxa"/>
              <w:bottom w:w="0" w:type="dxa"/>
            </w:tcMar>
            <w:vAlign w:val="center"/>
          </w:tcPr>
          <w:p w:rsidR="00FF19F7" w:rsidRDefault="00B04BC2">
            <w:pPr>
              <w:keepNext/>
              <w:keepLines/>
              <w:spacing w:after="0" w:line="240" w:lineRule="auto"/>
              <w:jc w:val="right"/>
            </w:pPr>
            <w:r>
              <w:rPr>
                <w:sz w:val="18"/>
              </w:rPr>
              <w:t>3370,4</w:t>
            </w:r>
          </w:p>
        </w:tc>
      </w:tr>
    </w:tbl>
    <w:p w:rsidR="00FF19F7" w:rsidRDefault="00FF19F7">
      <w:pPr>
        <w:spacing w:after="0"/>
      </w:pPr>
    </w:p>
    <w:p w:rsidR="00FF19F7" w:rsidRDefault="00B04BC2">
      <w:r>
        <w:t>Potraživanja za prihode poslovanja – potraživanja za zajedničke prihode na dan 31. prosinca 2025. godine iznose 58.441,08 eura. Navedeni iznos odnosi se na plaće za mjesec prosinac, prehranu učenika za mjesec prosinac te materijalna prava zaposlenika, čija</w:t>
      </w:r>
      <w:r>
        <w:t xml:space="preserve"> će naplata biti izvršena u siječnju 2026. godine.</w:t>
      </w:r>
    </w:p>
    <w:p w:rsidR="00FF19F7" w:rsidRDefault="00FF19F7"/>
    <w:p w:rsidR="00FF19F7" w:rsidRDefault="00B04BC2">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12911</w:t>
            </w:r>
          </w:p>
        </w:tc>
        <w:tc>
          <w:tcPr>
            <w:tcW w:w="3180" w:type="dxa"/>
            <w:tcMar>
              <w:top w:w="0" w:type="dxa"/>
              <w:bottom w:w="0" w:type="dxa"/>
            </w:tcMar>
            <w:vAlign w:val="center"/>
          </w:tcPr>
          <w:p w:rsidR="00FF19F7" w:rsidRDefault="00B04BC2">
            <w:pPr>
              <w:keepNext/>
              <w:keepLines/>
              <w:spacing w:after="0" w:line="240" w:lineRule="auto"/>
            </w:pPr>
            <w:r>
              <w:rPr>
                <w:sz w:val="18"/>
              </w:rPr>
              <w:t>Potraživanja za naknade koje se refundiraju</w:t>
            </w:r>
          </w:p>
        </w:tc>
        <w:tc>
          <w:tcPr>
            <w:tcW w:w="700" w:type="dxa"/>
            <w:tcMar>
              <w:top w:w="0" w:type="dxa"/>
              <w:bottom w:w="0" w:type="dxa"/>
            </w:tcMar>
            <w:vAlign w:val="center"/>
          </w:tcPr>
          <w:p w:rsidR="00FF19F7" w:rsidRDefault="00B04BC2">
            <w:pPr>
              <w:keepNext/>
              <w:keepLines/>
              <w:spacing w:after="0" w:line="240" w:lineRule="auto"/>
            </w:pPr>
            <w:r>
              <w:rPr>
                <w:sz w:val="18"/>
              </w:rPr>
              <w:t>12911</w:t>
            </w:r>
          </w:p>
        </w:tc>
        <w:tc>
          <w:tcPr>
            <w:tcW w:w="1860" w:type="dxa"/>
            <w:tcMar>
              <w:top w:w="0" w:type="dxa"/>
              <w:bottom w:w="0" w:type="dxa"/>
            </w:tcMar>
            <w:vAlign w:val="center"/>
          </w:tcPr>
          <w:p w:rsidR="00FF19F7" w:rsidRDefault="00B04BC2">
            <w:pPr>
              <w:keepNext/>
              <w:keepLines/>
              <w:spacing w:after="0" w:line="240" w:lineRule="auto"/>
              <w:jc w:val="right"/>
            </w:pPr>
            <w:r>
              <w:rPr>
                <w:sz w:val="18"/>
              </w:rPr>
              <w:t>1.464,70</w:t>
            </w:r>
          </w:p>
        </w:tc>
        <w:tc>
          <w:tcPr>
            <w:tcW w:w="1860" w:type="dxa"/>
            <w:tcMar>
              <w:top w:w="0" w:type="dxa"/>
              <w:bottom w:w="0" w:type="dxa"/>
            </w:tcMar>
            <w:vAlign w:val="center"/>
          </w:tcPr>
          <w:p w:rsidR="00FF19F7" w:rsidRDefault="00B04BC2">
            <w:pPr>
              <w:keepNext/>
              <w:keepLines/>
              <w:spacing w:after="0" w:line="240" w:lineRule="auto"/>
              <w:jc w:val="right"/>
            </w:pPr>
            <w:r>
              <w:rPr>
                <w:sz w:val="18"/>
              </w:rPr>
              <w:t>1.042,56</w:t>
            </w:r>
          </w:p>
        </w:tc>
        <w:tc>
          <w:tcPr>
            <w:tcW w:w="700" w:type="dxa"/>
            <w:tcMar>
              <w:top w:w="0" w:type="dxa"/>
              <w:bottom w:w="0" w:type="dxa"/>
            </w:tcMar>
            <w:vAlign w:val="center"/>
          </w:tcPr>
          <w:p w:rsidR="00FF19F7" w:rsidRDefault="00B04BC2">
            <w:pPr>
              <w:keepNext/>
              <w:keepLines/>
              <w:spacing w:after="0" w:line="240" w:lineRule="auto"/>
              <w:jc w:val="right"/>
            </w:pPr>
            <w:r>
              <w:rPr>
                <w:sz w:val="18"/>
              </w:rPr>
              <w:t>71,2</w:t>
            </w:r>
          </w:p>
        </w:tc>
      </w:tr>
    </w:tbl>
    <w:p w:rsidR="00FF19F7" w:rsidRDefault="00FF19F7">
      <w:pPr>
        <w:spacing w:after="0"/>
      </w:pPr>
    </w:p>
    <w:p w:rsidR="00FF19F7" w:rsidRDefault="00B04BC2">
      <w:r>
        <w:t>Potraživanja za naknade koje se refundiraju odnose na otvorena potraživanja za sredstva koja refundira HZZO odnosno naknada za bolovanje iznad 42 dana. </w:t>
      </w:r>
    </w:p>
    <w:p w:rsidR="00FF19F7" w:rsidRDefault="00FF19F7"/>
    <w:p w:rsidR="00FF19F7" w:rsidRDefault="00B04BC2">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dio 23</w:t>
            </w:r>
          </w:p>
        </w:tc>
        <w:tc>
          <w:tcPr>
            <w:tcW w:w="3180" w:type="dxa"/>
            <w:tcMar>
              <w:top w:w="0" w:type="dxa"/>
              <w:bottom w:w="0" w:type="dxa"/>
            </w:tcMar>
            <w:vAlign w:val="center"/>
          </w:tcPr>
          <w:p w:rsidR="00FF19F7" w:rsidRDefault="00B04BC2">
            <w:pPr>
              <w:keepNext/>
              <w:keepLines/>
              <w:spacing w:after="0" w:line="240" w:lineRule="auto"/>
            </w:pPr>
            <w:r>
              <w:rPr>
                <w:sz w:val="18"/>
              </w:rPr>
              <w:t>Obveze za rashode poslovanja - dospjele</w:t>
            </w:r>
          </w:p>
        </w:tc>
        <w:tc>
          <w:tcPr>
            <w:tcW w:w="700" w:type="dxa"/>
            <w:tcMar>
              <w:top w:w="0" w:type="dxa"/>
              <w:bottom w:w="0" w:type="dxa"/>
            </w:tcMar>
            <w:vAlign w:val="center"/>
          </w:tcPr>
          <w:p w:rsidR="00FF19F7" w:rsidRDefault="00B04BC2">
            <w:pPr>
              <w:keepNext/>
              <w:keepLines/>
              <w:spacing w:after="0" w:line="240" w:lineRule="auto"/>
            </w:pPr>
            <w:r>
              <w:rPr>
                <w:sz w:val="18"/>
              </w:rPr>
              <w:t>dio 23 D</w:t>
            </w:r>
          </w:p>
        </w:tc>
        <w:tc>
          <w:tcPr>
            <w:tcW w:w="1860" w:type="dxa"/>
            <w:tcMar>
              <w:top w:w="0" w:type="dxa"/>
              <w:bottom w:w="0" w:type="dxa"/>
            </w:tcMar>
            <w:vAlign w:val="center"/>
          </w:tcPr>
          <w:p w:rsidR="00FF19F7" w:rsidRDefault="00B04BC2">
            <w:pPr>
              <w:keepNext/>
              <w:keepLines/>
              <w:spacing w:after="0" w:line="240" w:lineRule="auto"/>
              <w:jc w:val="right"/>
            </w:pPr>
            <w:r>
              <w:rPr>
                <w:sz w:val="18"/>
              </w:rPr>
              <w:t>3.855,41</w:t>
            </w:r>
          </w:p>
        </w:tc>
        <w:tc>
          <w:tcPr>
            <w:tcW w:w="1860" w:type="dxa"/>
            <w:tcMar>
              <w:top w:w="0" w:type="dxa"/>
              <w:bottom w:w="0" w:type="dxa"/>
            </w:tcMar>
            <w:vAlign w:val="center"/>
          </w:tcPr>
          <w:p w:rsidR="00FF19F7" w:rsidRDefault="00B04BC2">
            <w:pPr>
              <w:keepNext/>
              <w:keepLines/>
              <w:spacing w:after="0" w:line="240" w:lineRule="auto"/>
              <w:jc w:val="right"/>
            </w:pPr>
            <w:r>
              <w:rPr>
                <w:sz w:val="18"/>
              </w:rPr>
              <w:t>2.817,34</w:t>
            </w:r>
          </w:p>
        </w:tc>
        <w:tc>
          <w:tcPr>
            <w:tcW w:w="700" w:type="dxa"/>
            <w:tcMar>
              <w:top w:w="0" w:type="dxa"/>
              <w:bottom w:w="0" w:type="dxa"/>
            </w:tcMar>
            <w:vAlign w:val="center"/>
          </w:tcPr>
          <w:p w:rsidR="00FF19F7" w:rsidRDefault="00B04BC2">
            <w:pPr>
              <w:keepNext/>
              <w:keepLines/>
              <w:spacing w:after="0" w:line="240" w:lineRule="auto"/>
              <w:jc w:val="right"/>
            </w:pPr>
            <w:r>
              <w:rPr>
                <w:sz w:val="18"/>
              </w:rPr>
              <w:t>73,1</w:t>
            </w:r>
          </w:p>
        </w:tc>
      </w:tr>
    </w:tbl>
    <w:p w:rsidR="00FF19F7" w:rsidRDefault="00FF19F7">
      <w:pPr>
        <w:spacing w:after="0"/>
      </w:pPr>
    </w:p>
    <w:p w:rsidR="00FF19F7" w:rsidRDefault="00B04BC2">
      <w:r>
        <w:t>Obveze za rashode poslovanja – dospjele odnose se na račune prema dobavljačima čije je dospijeće bilo 31. prosinca 2025. godine. Navedene obveze su plaćene 5. siječnja 2026. godine, zbog neradnog dana 1. siječnja i vikenda koji je slijedio.</w:t>
      </w:r>
    </w:p>
    <w:p w:rsidR="00FF19F7" w:rsidRDefault="00FF19F7"/>
    <w:p w:rsidR="00FF19F7" w:rsidRDefault="00B04BC2">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R</w:t>
            </w:r>
            <w:r>
              <w:rPr>
                <w:b/>
                <w:sz w:val="18"/>
              </w:rPr>
              <w:t xml:space="preserve">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dio 23</w:t>
            </w:r>
          </w:p>
        </w:tc>
        <w:tc>
          <w:tcPr>
            <w:tcW w:w="3180" w:type="dxa"/>
            <w:tcMar>
              <w:top w:w="0" w:type="dxa"/>
              <w:bottom w:w="0" w:type="dxa"/>
            </w:tcMar>
            <w:vAlign w:val="center"/>
          </w:tcPr>
          <w:p w:rsidR="00FF19F7" w:rsidRDefault="00B04BC2">
            <w:pPr>
              <w:keepNext/>
              <w:keepLines/>
              <w:spacing w:after="0" w:line="240" w:lineRule="auto"/>
            </w:pPr>
            <w:r>
              <w:rPr>
                <w:sz w:val="18"/>
              </w:rPr>
              <w:t>Obveze za rashode poslovanja - nedospjele</w:t>
            </w:r>
          </w:p>
        </w:tc>
        <w:tc>
          <w:tcPr>
            <w:tcW w:w="700" w:type="dxa"/>
            <w:tcMar>
              <w:top w:w="0" w:type="dxa"/>
              <w:bottom w:w="0" w:type="dxa"/>
            </w:tcMar>
            <w:vAlign w:val="center"/>
          </w:tcPr>
          <w:p w:rsidR="00FF19F7" w:rsidRDefault="00B04BC2">
            <w:pPr>
              <w:keepNext/>
              <w:keepLines/>
              <w:spacing w:after="0" w:line="240" w:lineRule="auto"/>
            </w:pPr>
            <w:r>
              <w:rPr>
                <w:sz w:val="18"/>
              </w:rPr>
              <w:t>dio 23 N</w:t>
            </w:r>
          </w:p>
        </w:tc>
        <w:tc>
          <w:tcPr>
            <w:tcW w:w="1860" w:type="dxa"/>
            <w:tcMar>
              <w:top w:w="0" w:type="dxa"/>
              <w:bottom w:w="0" w:type="dxa"/>
            </w:tcMar>
            <w:vAlign w:val="center"/>
          </w:tcPr>
          <w:p w:rsidR="00FF19F7" w:rsidRDefault="00B04BC2">
            <w:pPr>
              <w:keepNext/>
              <w:keepLines/>
              <w:spacing w:after="0" w:line="240" w:lineRule="auto"/>
              <w:jc w:val="right"/>
            </w:pPr>
            <w:r>
              <w:rPr>
                <w:sz w:val="18"/>
              </w:rPr>
              <w:t>54.006,61</w:t>
            </w:r>
          </w:p>
        </w:tc>
        <w:tc>
          <w:tcPr>
            <w:tcW w:w="1860" w:type="dxa"/>
            <w:tcMar>
              <w:top w:w="0" w:type="dxa"/>
              <w:bottom w:w="0" w:type="dxa"/>
            </w:tcMar>
            <w:vAlign w:val="center"/>
          </w:tcPr>
          <w:p w:rsidR="00FF19F7" w:rsidRDefault="00B04BC2">
            <w:pPr>
              <w:keepNext/>
              <w:keepLines/>
              <w:spacing w:after="0" w:line="240" w:lineRule="auto"/>
              <w:jc w:val="right"/>
            </w:pPr>
            <w:r>
              <w:rPr>
                <w:sz w:val="18"/>
              </w:rPr>
              <w:t>64.278,23</w:t>
            </w:r>
          </w:p>
        </w:tc>
        <w:tc>
          <w:tcPr>
            <w:tcW w:w="700" w:type="dxa"/>
            <w:tcMar>
              <w:top w:w="0" w:type="dxa"/>
              <w:bottom w:w="0" w:type="dxa"/>
            </w:tcMar>
            <w:vAlign w:val="center"/>
          </w:tcPr>
          <w:p w:rsidR="00FF19F7" w:rsidRDefault="00B04BC2">
            <w:pPr>
              <w:keepNext/>
              <w:keepLines/>
              <w:spacing w:after="0" w:line="240" w:lineRule="auto"/>
              <w:jc w:val="right"/>
            </w:pPr>
            <w:r>
              <w:rPr>
                <w:sz w:val="18"/>
              </w:rPr>
              <w:t>119,0</w:t>
            </w:r>
          </w:p>
        </w:tc>
      </w:tr>
    </w:tbl>
    <w:p w:rsidR="00FF19F7" w:rsidRDefault="00FF19F7">
      <w:pPr>
        <w:spacing w:after="0"/>
      </w:pPr>
    </w:p>
    <w:p w:rsidR="00FF19F7" w:rsidRDefault="00B04BC2">
      <w:r>
        <w:t>Obveze za rashode poslovanja – nedospjele odnose se na plaće za mjesec prosinac 2025. godine, materijalna prava zaposlenika, bolovanja iznad 42 dana, čija refundacija se očekuje od HZZO-a te obveze za materijalne rashode čije je dospijeće predviđeno u sije</w:t>
      </w:r>
      <w:r>
        <w:t>čnju 2026. godine.</w:t>
      </w:r>
      <w:r>
        <w:br/>
        <w:t>Navedene obveze predstavljaju račune i troškove obračunate u 2025. godini, čija će naplata ili plaćanje biti izvršeno u narednom obračunskom razdoblju.</w:t>
      </w:r>
    </w:p>
    <w:p w:rsidR="00FF19F7" w:rsidRDefault="00FF19F7"/>
    <w:p w:rsidR="00FF19F7" w:rsidRDefault="00B04BC2">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31. pro</w:t>
            </w:r>
            <w:r>
              <w:rPr>
                <w:b/>
                <w:sz w:val="18"/>
              </w:rPr>
              <w:t>sinca</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dio 24</w:t>
            </w:r>
          </w:p>
        </w:tc>
        <w:tc>
          <w:tcPr>
            <w:tcW w:w="3180" w:type="dxa"/>
            <w:tcMar>
              <w:top w:w="0" w:type="dxa"/>
              <w:bottom w:w="0" w:type="dxa"/>
            </w:tcMar>
            <w:vAlign w:val="center"/>
          </w:tcPr>
          <w:p w:rsidR="00FF19F7" w:rsidRDefault="00B04BC2">
            <w:pPr>
              <w:keepNext/>
              <w:keepLines/>
              <w:spacing w:after="0" w:line="240" w:lineRule="auto"/>
            </w:pPr>
            <w:r>
              <w:rPr>
                <w:sz w:val="18"/>
              </w:rPr>
              <w:t>Obveze za nabavu nefinancijske imovine - nedospjele</w:t>
            </w:r>
          </w:p>
        </w:tc>
        <w:tc>
          <w:tcPr>
            <w:tcW w:w="700" w:type="dxa"/>
            <w:tcMar>
              <w:top w:w="0" w:type="dxa"/>
              <w:bottom w:w="0" w:type="dxa"/>
            </w:tcMar>
            <w:vAlign w:val="center"/>
          </w:tcPr>
          <w:p w:rsidR="00FF19F7" w:rsidRDefault="00B04BC2">
            <w:pPr>
              <w:keepNext/>
              <w:keepLines/>
              <w:spacing w:after="0" w:line="240" w:lineRule="auto"/>
            </w:pPr>
            <w:r>
              <w:rPr>
                <w:sz w:val="18"/>
              </w:rPr>
              <w:t>dio 24 N</w:t>
            </w:r>
          </w:p>
        </w:tc>
        <w:tc>
          <w:tcPr>
            <w:tcW w:w="1860" w:type="dxa"/>
            <w:tcMar>
              <w:top w:w="0" w:type="dxa"/>
              <w:bottom w:w="0" w:type="dxa"/>
            </w:tcMar>
            <w:vAlign w:val="center"/>
          </w:tcPr>
          <w:p w:rsidR="00FF19F7" w:rsidRDefault="00B04BC2">
            <w:pPr>
              <w:keepNext/>
              <w:keepLines/>
              <w:spacing w:after="0" w:line="240" w:lineRule="auto"/>
              <w:jc w:val="right"/>
            </w:pPr>
            <w:r>
              <w:rPr>
                <w:sz w:val="18"/>
              </w:rPr>
              <w:t>0,00</w:t>
            </w:r>
          </w:p>
        </w:tc>
        <w:tc>
          <w:tcPr>
            <w:tcW w:w="1860" w:type="dxa"/>
            <w:tcMar>
              <w:top w:w="0" w:type="dxa"/>
              <w:bottom w:w="0" w:type="dxa"/>
            </w:tcMar>
            <w:vAlign w:val="center"/>
          </w:tcPr>
          <w:p w:rsidR="00FF19F7" w:rsidRDefault="00B04BC2">
            <w:pPr>
              <w:keepNext/>
              <w:keepLines/>
              <w:spacing w:after="0" w:line="240" w:lineRule="auto"/>
              <w:jc w:val="right"/>
            </w:pPr>
            <w:r>
              <w:rPr>
                <w:sz w:val="18"/>
              </w:rPr>
              <w:t>2.100,00</w:t>
            </w:r>
          </w:p>
        </w:tc>
        <w:tc>
          <w:tcPr>
            <w:tcW w:w="700" w:type="dxa"/>
            <w:tcMar>
              <w:top w:w="0" w:type="dxa"/>
              <w:bottom w:w="0" w:type="dxa"/>
            </w:tcMar>
            <w:vAlign w:val="center"/>
          </w:tcPr>
          <w:p w:rsidR="00FF19F7" w:rsidRDefault="00B04BC2">
            <w:pPr>
              <w:keepNext/>
              <w:keepLines/>
              <w:spacing w:after="0" w:line="240" w:lineRule="auto"/>
              <w:jc w:val="right"/>
            </w:pPr>
            <w:r>
              <w:rPr>
                <w:sz w:val="18"/>
              </w:rPr>
              <w:t>-</w:t>
            </w:r>
          </w:p>
        </w:tc>
      </w:tr>
    </w:tbl>
    <w:p w:rsidR="00FF19F7" w:rsidRDefault="00FF19F7">
      <w:pPr>
        <w:spacing w:after="0"/>
      </w:pPr>
    </w:p>
    <w:p w:rsidR="00FF19F7" w:rsidRDefault="00B04BC2">
      <w:r>
        <w:t>Obveze za nabavu nefinancijske imovine – nedospjele odnose se na račun prema dobavljaču za nabavu pametne ploče, čija će naplata biti izvršena u siječnju 2026. godine.</w:t>
      </w:r>
    </w:p>
    <w:p w:rsidR="00FF19F7" w:rsidRDefault="00FF19F7"/>
    <w:p w:rsidR="00FF19F7" w:rsidRDefault="00B04BC2">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Stanje 31. prosin</w:t>
            </w:r>
            <w:r>
              <w:rPr>
                <w:b/>
                <w:sz w:val="18"/>
              </w:rPr>
              <w:t>ca</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B04BC2">
            <w:pPr>
              <w:keepNext/>
              <w:keepLines/>
              <w:spacing w:after="0" w:line="240" w:lineRule="auto"/>
            </w:pPr>
            <w:r>
              <w:rPr>
                <w:sz w:val="18"/>
              </w:rPr>
              <w:t>27611</w:t>
            </w:r>
          </w:p>
        </w:tc>
        <w:tc>
          <w:tcPr>
            <w:tcW w:w="3180" w:type="dxa"/>
            <w:tcMar>
              <w:top w:w="0" w:type="dxa"/>
              <w:bottom w:w="0" w:type="dxa"/>
            </w:tcMar>
            <w:vAlign w:val="center"/>
          </w:tcPr>
          <w:p w:rsidR="00FF19F7" w:rsidRDefault="00B04BC2">
            <w:pPr>
              <w:keepNext/>
              <w:keepLines/>
              <w:spacing w:after="0" w:line="240" w:lineRule="auto"/>
            </w:pPr>
            <w:r>
              <w:rPr>
                <w:sz w:val="18"/>
              </w:rPr>
              <w:t>Obveze proračunskih korisnika za povrat u proračun</w:t>
            </w:r>
          </w:p>
        </w:tc>
        <w:tc>
          <w:tcPr>
            <w:tcW w:w="700" w:type="dxa"/>
            <w:tcMar>
              <w:top w:w="0" w:type="dxa"/>
              <w:bottom w:w="0" w:type="dxa"/>
            </w:tcMar>
            <w:vAlign w:val="center"/>
          </w:tcPr>
          <w:p w:rsidR="00FF19F7" w:rsidRDefault="00B04BC2">
            <w:pPr>
              <w:keepNext/>
              <w:keepLines/>
              <w:spacing w:after="0" w:line="240" w:lineRule="auto"/>
            </w:pPr>
            <w:r>
              <w:rPr>
                <w:sz w:val="18"/>
              </w:rPr>
              <w:t>27611</w:t>
            </w:r>
          </w:p>
        </w:tc>
        <w:tc>
          <w:tcPr>
            <w:tcW w:w="1860" w:type="dxa"/>
            <w:tcMar>
              <w:top w:w="0" w:type="dxa"/>
              <w:bottom w:w="0" w:type="dxa"/>
            </w:tcMar>
            <w:vAlign w:val="center"/>
          </w:tcPr>
          <w:p w:rsidR="00FF19F7" w:rsidRDefault="00B04BC2">
            <w:pPr>
              <w:keepNext/>
              <w:keepLines/>
              <w:spacing w:after="0" w:line="240" w:lineRule="auto"/>
              <w:jc w:val="right"/>
            </w:pPr>
            <w:r>
              <w:rPr>
                <w:sz w:val="18"/>
              </w:rPr>
              <w:t>0,00</w:t>
            </w:r>
          </w:p>
        </w:tc>
        <w:tc>
          <w:tcPr>
            <w:tcW w:w="1860" w:type="dxa"/>
            <w:tcMar>
              <w:top w:w="0" w:type="dxa"/>
              <w:bottom w:w="0" w:type="dxa"/>
            </w:tcMar>
            <w:vAlign w:val="center"/>
          </w:tcPr>
          <w:p w:rsidR="00FF19F7" w:rsidRDefault="00B04BC2">
            <w:pPr>
              <w:keepNext/>
              <w:keepLines/>
              <w:spacing w:after="0" w:line="240" w:lineRule="auto"/>
              <w:jc w:val="right"/>
            </w:pPr>
            <w:r>
              <w:rPr>
                <w:sz w:val="18"/>
              </w:rPr>
              <w:t>150,84</w:t>
            </w:r>
          </w:p>
        </w:tc>
        <w:tc>
          <w:tcPr>
            <w:tcW w:w="700" w:type="dxa"/>
            <w:tcMar>
              <w:top w:w="0" w:type="dxa"/>
              <w:bottom w:w="0" w:type="dxa"/>
            </w:tcMar>
            <w:vAlign w:val="center"/>
          </w:tcPr>
          <w:p w:rsidR="00FF19F7" w:rsidRDefault="00B04BC2">
            <w:pPr>
              <w:keepNext/>
              <w:keepLines/>
              <w:spacing w:after="0" w:line="240" w:lineRule="auto"/>
              <w:jc w:val="right"/>
            </w:pPr>
            <w:r>
              <w:rPr>
                <w:sz w:val="18"/>
              </w:rPr>
              <w:t>-</w:t>
            </w:r>
          </w:p>
        </w:tc>
      </w:tr>
    </w:tbl>
    <w:p w:rsidR="00FF19F7" w:rsidRDefault="00FF19F7">
      <w:pPr>
        <w:spacing w:after="0"/>
      </w:pPr>
    </w:p>
    <w:p w:rsidR="00FF19F7" w:rsidRDefault="00B04BC2">
      <w:r>
        <w:t xml:space="preserve">Ova stavka odnosi se na povrat poreza na dohodak prema godišnjem obračunu zaposlenice koja se nalazila na </w:t>
      </w:r>
      <w:proofErr w:type="spellStart"/>
      <w:r>
        <w:t>porodiljnom</w:t>
      </w:r>
      <w:proofErr w:type="spellEnd"/>
      <w:r>
        <w:t xml:space="preserve"> dopustu.</w:t>
      </w:r>
    </w:p>
    <w:p w:rsidR="00FF19F7" w:rsidRDefault="00FF19F7"/>
    <w:p w:rsidR="00FF19F7" w:rsidRDefault="00B04BC2">
      <w:pPr>
        <w:keepNext/>
        <w:spacing w:line="240" w:lineRule="auto"/>
        <w:jc w:val="center"/>
      </w:pPr>
      <w:r>
        <w:rPr>
          <w:b/>
          <w:sz w:val="28"/>
        </w:rPr>
        <w:t>Promjene u vrijednosti i obujmu imovine i obveza</w:t>
      </w:r>
    </w:p>
    <w:p w:rsidR="00FF19F7" w:rsidRDefault="00B04BC2">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FF19F7">
            <w:pPr>
              <w:keepNext/>
              <w:keepLines/>
              <w:spacing w:after="0" w:line="240" w:lineRule="auto"/>
            </w:pPr>
          </w:p>
        </w:tc>
        <w:tc>
          <w:tcPr>
            <w:tcW w:w="3180" w:type="dxa"/>
            <w:tcMar>
              <w:top w:w="0" w:type="dxa"/>
              <w:bottom w:w="0" w:type="dxa"/>
            </w:tcMar>
            <w:vAlign w:val="center"/>
          </w:tcPr>
          <w:p w:rsidR="00FF19F7" w:rsidRDefault="00B04BC2">
            <w:pPr>
              <w:keepNext/>
              <w:keepLines/>
              <w:spacing w:after="0" w:line="240" w:lineRule="auto"/>
            </w:pPr>
            <w:r>
              <w:rPr>
                <w:sz w:val="18"/>
              </w:rPr>
              <w:t>Proizvedena dugotrajna imovina</w:t>
            </w:r>
          </w:p>
        </w:tc>
        <w:tc>
          <w:tcPr>
            <w:tcW w:w="700" w:type="dxa"/>
            <w:tcMar>
              <w:top w:w="0" w:type="dxa"/>
              <w:bottom w:w="0" w:type="dxa"/>
            </w:tcMar>
            <w:vAlign w:val="center"/>
          </w:tcPr>
          <w:p w:rsidR="00FF19F7" w:rsidRDefault="00B04BC2">
            <w:pPr>
              <w:keepNext/>
              <w:keepLines/>
              <w:spacing w:after="0" w:line="240" w:lineRule="auto"/>
            </w:pPr>
            <w:r>
              <w:rPr>
                <w:sz w:val="18"/>
              </w:rPr>
              <w:t>P018</w:t>
            </w:r>
          </w:p>
        </w:tc>
        <w:tc>
          <w:tcPr>
            <w:tcW w:w="1860" w:type="dxa"/>
            <w:tcMar>
              <w:top w:w="0" w:type="dxa"/>
              <w:bottom w:w="0" w:type="dxa"/>
            </w:tcMar>
            <w:vAlign w:val="center"/>
          </w:tcPr>
          <w:p w:rsidR="00FF19F7" w:rsidRDefault="00B04BC2">
            <w:pPr>
              <w:keepNext/>
              <w:keepLines/>
              <w:spacing w:after="0" w:line="240" w:lineRule="auto"/>
              <w:jc w:val="right"/>
            </w:pPr>
            <w:r>
              <w:rPr>
                <w:sz w:val="18"/>
              </w:rPr>
              <w:t>55,00</w:t>
            </w:r>
          </w:p>
        </w:tc>
        <w:tc>
          <w:tcPr>
            <w:tcW w:w="1860" w:type="dxa"/>
            <w:tcMar>
              <w:top w:w="0" w:type="dxa"/>
              <w:bottom w:w="0" w:type="dxa"/>
            </w:tcMar>
            <w:vAlign w:val="center"/>
          </w:tcPr>
          <w:p w:rsidR="00FF19F7" w:rsidRDefault="00B04BC2">
            <w:pPr>
              <w:keepNext/>
              <w:keepLines/>
              <w:spacing w:after="0" w:line="240" w:lineRule="auto"/>
              <w:jc w:val="right"/>
            </w:pPr>
            <w:r>
              <w:rPr>
                <w:sz w:val="18"/>
              </w:rPr>
              <w:t>0,00</w:t>
            </w:r>
          </w:p>
        </w:tc>
        <w:tc>
          <w:tcPr>
            <w:tcW w:w="700" w:type="dxa"/>
            <w:tcMar>
              <w:top w:w="0" w:type="dxa"/>
              <w:bottom w:w="0" w:type="dxa"/>
            </w:tcMar>
            <w:vAlign w:val="center"/>
          </w:tcPr>
          <w:p w:rsidR="00FF19F7" w:rsidRDefault="00B04BC2">
            <w:pPr>
              <w:keepNext/>
              <w:keepLines/>
              <w:spacing w:after="0" w:line="240" w:lineRule="auto"/>
              <w:jc w:val="right"/>
            </w:pPr>
            <w:r>
              <w:rPr>
                <w:sz w:val="18"/>
              </w:rPr>
              <w:t>0</w:t>
            </w:r>
          </w:p>
        </w:tc>
      </w:tr>
    </w:tbl>
    <w:p w:rsidR="00FF19F7" w:rsidRDefault="00FF19F7">
      <w:pPr>
        <w:spacing w:after="0"/>
      </w:pPr>
    </w:p>
    <w:p w:rsidR="00FF19F7" w:rsidRDefault="00B04BC2">
      <w:r>
        <w:lastRenderedPageBreak/>
        <w:t>Obujam proizvedene dugotrajne imovine povećan je za 55,00 eura, što se odnosi na donaciju triju knjiga za školsku knjižnicu od strane osnivača Varaždinske županije. Donirane knjige su Politika za svakoga, Etnografija Hrvatskog zagorja i RH i Domovinski rat</w:t>
      </w:r>
      <w:r>
        <w:t xml:space="preserve"> 1990.-1995.</w:t>
      </w:r>
    </w:p>
    <w:p w:rsidR="00FF19F7" w:rsidRDefault="00FF19F7"/>
    <w:p w:rsidR="00FF19F7" w:rsidRDefault="00B04BC2">
      <w:pPr>
        <w:keepNext/>
        <w:spacing w:line="240" w:lineRule="auto"/>
        <w:jc w:val="center"/>
      </w:pPr>
      <w:r>
        <w:rPr>
          <w:b/>
          <w:sz w:val="28"/>
        </w:rPr>
        <w:t>Izvještaj o obvezama</w:t>
      </w:r>
    </w:p>
    <w:p w:rsidR="00FF19F7" w:rsidRDefault="00B04BC2">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FF19F7">
            <w:pPr>
              <w:keepNext/>
              <w:keepLines/>
              <w:spacing w:after="0" w:line="240" w:lineRule="auto"/>
            </w:pPr>
          </w:p>
        </w:tc>
        <w:tc>
          <w:tcPr>
            <w:tcW w:w="3180" w:type="dxa"/>
            <w:tcMar>
              <w:top w:w="0" w:type="dxa"/>
              <w:bottom w:w="0" w:type="dxa"/>
            </w:tcMar>
            <w:vAlign w:val="center"/>
          </w:tcPr>
          <w:p w:rsidR="00FF19F7" w:rsidRDefault="00B04BC2">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rsidR="00FF19F7" w:rsidRDefault="00B04BC2">
            <w:pPr>
              <w:keepNext/>
              <w:keepLines/>
              <w:spacing w:after="0" w:line="240" w:lineRule="auto"/>
            </w:pPr>
            <w:r>
              <w:rPr>
                <w:sz w:val="18"/>
              </w:rPr>
              <w:t>V006</w:t>
            </w:r>
          </w:p>
        </w:tc>
        <w:tc>
          <w:tcPr>
            <w:tcW w:w="1860" w:type="dxa"/>
            <w:tcMar>
              <w:top w:w="0" w:type="dxa"/>
              <w:bottom w:w="0" w:type="dxa"/>
            </w:tcMar>
            <w:vAlign w:val="center"/>
          </w:tcPr>
          <w:p w:rsidR="00FF19F7" w:rsidRDefault="00B04BC2">
            <w:pPr>
              <w:keepNext/>
              <w:keepLines/>
              <w:spacing w:after="0" w:line="240" w:lineRule="auto"/>
              <w:jc w:val="right"/>
            </w:pPr>
            <w:r>
              <w:rPr>
                <w:sz w:val="18"/>
              </w:rPr>
              <w:t>70.361,21</w:t>
            </w:r>
          </w:p>
        </w:tc>
        <w:tc>
          <w:tcPr>
            <w:tcW w:w="700" w:type="dxa"/>
            <w:tcMar>
              <w:top w:w="0" w:type="dxa"/>
              <w:bottom w:w="0" w:type="dxa"/>
            </w:tcMar>
            <w:vAlign w:val="center"/>
          </w:tcPr>
          <w:p w:rsidR="00FF19F7" w:rsidRDefault="00B04BC2">
            <w:pPr>
              <w:keepNext/>
              <w:keepLines/>
              <w:spacing w:after="0" w:line="240" w:lineRule="auto"/>
              <w:jc w:val="right"/>
            </w:pPr>
            <w:r>
              <w:rPr>
                <w:sz w:val="18"/>
              </w:rPr>
              <w:t>-</w:t>
            </w:r>
          </w:p>
        </w:tc>
      </w:tr>
    </w:tbl>
    <w:p w:rsidR="00FF19F7" w:rsidRDefault="00FF19F7">
      <w:pPr>
        <w:spacing w:after="0"/>
      </w:pPr>
    </w:p>
    <w:p w:rsidR="00FF19F7" w:rsidRDefault="00B04BC2">
      <w:r>
        <w:t>Ukupne nepodmirene obveze na dan 31. prosinca 2025. godine iznose 70.361,21 eura i odnose se na: plaće za mjesec prosinac 2025. godine u iznosu od 59.232,24 eura, koje dospijevaju u siječnju 2026. godine, obveze za povrat sredstava u proračun koje refundir</w:t>
      </w:r>
      <w:r>
        <w:t>a HZZO u iznosu od 1.014,80 eura, obveze za povrat poreza na dohodak po godišnjem obračunu u iznosu od 150,84 eura te obveze za rashode poslovanja prema dobavljačima u iznosu od 9.963,33 eura, koje će se podmiriti u siječnju 2026. godine kada dospijevaju n</w:t>
      </w:r>
      <w:r>
        <w:t>a plaćanje.</w:t>
      </w:r>
    </w:p>
    <w:p w:rsidR="00FF19F7" w:rsidRDefault="00FF19F7"/>
    <w:p w:rsidR="00FF19F7" w:rsidRDefault="00B04BC2">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FF19F7">
            <w:pPr>
              <w:keepNext/>
              <w:keepLines/>
              <w:spacing w:after="0" w:line="240" w:lineRule="auto"/>
            </w:pPr>
          </w:p>
        </w:tc>
        <w:tc>
          <w:tcPr>
            <w:tcW w:w="3180" w:type="dxa"/>
            <w:tcMar>
              <w:top w:w="0" w:type="dxa"/>
              <w:bottom w:w="0" w:type="dxa"/>
            </w:tcMar>
            <w:vAlign w:val="center"/>
          </w:tcPr>
          <w:p w:rsidR="00FF19F7" w:rsidRDefault="00B04BC2">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FF19F7" w:rsidRDefault="00B04BC2">
            <w:pPr>
              <w:keepNext/>
              <w:keepLines/>
              <w:spacing w:after="0" w:line="240" w:lineRule="auto"/>
            </w:pPr>
            <w:r>
              <w:rPr>
                <w:sz w:val="18"/>
              </w:rPr>
              <w:t>V007</w:t>
            </w:r>
          </w:p>
        </w:tc>
        <w:tc>
          <w:tcPr>
            <w:tcW w:w="1860" w:type="dxa"/>
            <w:tcMar>
              <w:top w:w="0" w:type="dxa"/>
              <w:bottom w:w="0" w:type="dxa"/>
            </w:tcMar>
            <w:vAlign w:val="center"/>
          </w:tcPr>
          <w:p w:rsidR="00FF19F7" w:rsidRDefault="00B04BC2">
            <w:pPr>
              <w:keepNext/>
              <w:keepLines/>
              <w:spacing w:after="0" w:line="240" w:lineRule="auto"/>
              <w:jc w:val="right"/>
            </w:pPr>
            <w:r>
              <w:rPr>
                <w:sz w:val="18"/>
              </w:rPr>
              <w:t>2.817,34</w:t>
            </w:r>
          </w:p>
        </w:tc>
        <w:tc>
          <w:tcPr>
            <w:tcW w:w="700" w:type="dxa"/>
            <w:tcMar>
              <w:top w:w="0" w:type="dxa"/>
              <w:bottom w:w="0" w:type="dxa"/>
            </w:tcMar>
            <w:vAlign w:val="center"/>
          </w:tcPr>
          <w:p w:rsidR="00FF19F7" w:rsidRDefault="00B04BC2">
            <w:pPr>
              <w:keepNext/>
              <w:keepLines/>
              <w:spacing w:after="0" w:line="240" w:lineRule="auto"/>
              <w:jc w:val="right"/>
            </w:pPr>
            <w:r>
              <w:rPr>
                <w:sz w:val="18"/>
              </w:rPr>
              <w:t>-</w:t>
            </w:r>
          </w:p>
        </w:tc>
      </w:tr>
    </w:tbl>
    <w:p w:rsidR="00FF19F7" w:rsidRDefault="00FF19F7">
      <w:pPr>
        <w:spacing w:after="0"/>
      </w:pPr>
    </w:p>
    <w:p w:rsidR="00FF19F7" w:rsidRDefault="00B04BC2">
      <w:r>
        <w:rPr>
          <w:b/>
          <w:i/>
        </w:rPr>
        <w:t>Stanje dospjelih obveza</w:t>
      </w:r>
      <w:r>
        <w:t>na kraju izvještajnog razdoblja iznosilo je 2.817,34 eura te se odnosi na obveze prema dobavljačima po računima čije je dospijeće bilo 31. prosinca 2025. godine. Zbog neradnog dana 1. siječnja 2026. godine te vikenda koji je uslijedio, navedene obveze nisu</w:t>
      </w:r>
      <w:r>
        <w:t xml:space="preserve"> mogle biti podmirene na sam dan dospijeća, već su podmirene 5. siječnja 2026. godine, odnosno prvog sljedećeg radnog dana. </w:t>
      </w:r>
    </w:p>
    <w:p w:rsidR="00FF19F7" w:rsidRDefault="00FF19F7"/>
    <w:p w:rsidR="00FF19F7" w:rsidRDefault="00B04BC2">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FF19F7">
        <w:tblPrEx>
          <w:tblCellMar>
            <w:top w:w="0" w:type="dxa"/>
            <w:bottom w:w="0" w:type="dxa"/>
          </w:tblCellMar>
        </w:tblPrEx>
        <w:trPr>
          <w:cantSplit/>
        </w:trPr>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F19F7" w:rsidRDefault="00B04BC2">
            <w:pPr>
              <w:keepNext/>
              <w:keepLines/>
              <w:spacing w:after="0" w:line="240" w:lineRule="auto"/>
              <w:jc w:val="center"/>
            </w:pPr>
            <w:r>
              <w:rPr>
                <w:b/>
                <w:sz w:val="18"/>
              </w:rPr>
              <w:t>Indeks (%)</w:t>
            </w:r>
          </w:p>
        </w:tc>
      </w:tr>
      <w:tr w:rsidR="00FF19F7">
        <w:tblPrEx>
          <w:tblCellMar>
            <w:top w:w="0" w:type="dxa"/>
            <w:bottom w:w="0" w:type="dxa"/>
          </w:tblCellMar>
        </w:tblPrEx>
        <w:trPr>
          <w:cantSplit/>
          <w:trHeight w:val="560"/>
        </w:trPr>
        <w:tc>
          <w:tcPr>
            <w:tcW w:w="700" w:type="dxa"/>
            <w:tcMar>
              <w:top w:w="0" w:type="dxa"/>
              <w:bottom w:w="0" w:type="dxa"/>
            </w:tcMar>
            <w:vAlign w:val="center"/>
          </w:tcPr>
          <w:p w:rsidR="00FF19F7" w:rsidRDefault="00FF19F7">
            <w:pPr>
              <w:keepNext/>
              <w:keepLines/>
              <w:spacing w:after="0" w:line="240" w:lineRule="auto"/>
            </w:pPr>
          </w:p>
        </w:tc>
        <w:tc>
          <w:tcPr>
            <w:tcW w:w="3180" w:type="dxa"/>
            <w:tcMar>
              <w:top w:w="0" w:type="dxa"/>
              <w:bottom w:w="0" w:type="dxa"/>
            </w:tcMar>
            <w:vAlign w:val="center"/>
          </w:tcPr>
          <w:p w:rsidR="00FF19F7" w:rsidRDefault="00B04BC2">
            <w:pPr>
              <w:keepNext/>
              <w:keepLines/>
              <w:spacing w:after="0" w:line="240" w:lineRule="auto"/>
            </w:pPr>
            <w:r>
              <w:rPr>
                <w:sz w:val="18"/>
              </w:rPr>
              <w:t>Međusobne obveze subjekata općeg proračuna</w:t>
            </w:r>
          </w:p>
        </w:tc>
        <w:tc>
          <w:tcPr>
            <w:tcW w:w="700" w:type="dxa"/>
            <w:tcMar>
              <w:top w:w="0" w:type="dxa"/>
              <w:bottom w:w="0" w:type="dxa"/>
            </w:tcMar>
            <w:vAlign w:val="center"/>
          </w:tcPr>
          <w:p w:rsidR="00FF19F7" w:rsidRDefault="00B04BC2">
            <w:pPr>
              <w:keepNext/>
              <w:keepLines/>
              <w:spacing w:after="0" w:line="240" w:lineRule="auto"/>
            </w:pPr>
            <w:r>
              <w:rPr>
                <w:sz w:val="18"/>
              </w:rPr>
              <w:t>V010</w:t>
            </w:r>
          </w:p>
        </w:tc>
        <w:tc>
          <w:tcPr>
            <w:tcW w:w="1860" w:type="dxa"/>
            <w:tcMar>
              <w:top w:w="0" w:type="dxa"/>
              <w:bottom w:w="0" w:type="dxa"/>
            </w:tcMar>
            <w:vAlign w:val="center"/>
          </w:tcPr>
          <w:p w:rsidR="00FF19F7" w:rsidRDefault="00B04BC2">
            <w:pPr>
              <w:keepNext/>
              <w:keepLines/>
              <w:spacing w:after="0" w:line="240" w:lineRule="auto"/>
              <w:jc w:val="right"/>
            </w:pPr>
            <w:r>
              <w:rPr>
                <w:sz w:val="18"/>
              </w:rPr>
              <w:t>1.165,64</w:t>
            </w:r>
          </w:p>
        </w:tc>
        <w:tc>
          <w:tcPr>
            <w:tcW w:w="700" w:type="dxa"/>
            <w:tcMar>
              <w:top w:w="0" w:type="dxa"/>
              <w:bottom w:w="0" w:type="dxa"/>
            </w:tcMar>
            <w:vAlign w:val="center"/>
          </w:tcPr>
          <w:p w:rsidR="00FF19F7" w:rsidRDefault="00B04BC2">
            <w:pPr>
              <w:keepNext/>
              <w:keepLines/>
              <w:spacing w:after="0" w:line="240" w:lineRule="auto"/>
              <w:jc w:val="right"/>
            </w:pPr>
            <w:r>
              <w:rPr>
                <w:sz w:val="18"/>
              </w:rPr>
              <w:t>-</w:t>
            </w:r>
          </w:p>
        </w:tc>
      </w:tr>
    </w:tbl>
    <w:p w:rsidR="00FF19F7" w:rsidRDefault="00FF19F7">
      <w:pPr>
        <w:spacing w:after="0"/>
      </w:pPr>
    </w:p>
    <w:p w:rsidR="00FF19F7" w:rsidRDefault="00B04BC2">
      <w:r>
        <w:t>Međusobne obveze subjekata općeg proračuna iznose 1.165,64 eura i odnose na obveze za povrat u proračun sredstava koja refundira HZZO za bolovanje u iznosu od 1.014,80 eura te obveze za povrat po godišnjem obračunu poreza na dohodak u iznosu od 150,84 eur</w:t>
      </w:r>
      <w:r>
        <w:t>a. </w:t>
      </w:r>
    </w:p>
    <w:p w:rsidR="00FF19F7" w:rsidRDefault="00FF19F7"/>
    <w:sectPr w:rsidR="00FF19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F7"/>
    <w:rsid w:val="00632FEC"/>
    <w:rsid w:val="00B04BC2"/>
    <w:rsid w:val="00FF19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0058A"/>
  <w15:docId w15:val="{BB73B509-97A3-4142-9342-ACE0BFB8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632FE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32F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4221</Words>
  <Characters>24064</Characters>
  <Application>Microsoft Office Word</Application>
  <DocSecurity>0</DocSecurity>
  <Lines>200</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cp:revision>
  <cp:lastPrinted>2026-01-30T14:48:00Z</cp:lastPrinted>
  <dcterms:created xsi:type="dcterms:W3CDTF">2026-01-30T14:48:00Z</dcterms:created>
  <dcterms:modified xsi:type="dcterms:W3CDTF">2026-01-30T14:50:00Z</dcterms:modified>
</cp:coreProperties>
</file>